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</w:pPr>
      <w:r>
        <w:t>输尿管内窥镜</w:t>
      </w:r>
    </w:p>
    <w:p>
      <w:pPr>
        <w:pStyle w:val="6"/>
      </w:pPr>
      <w:r>
        <w:t>型    号：ss型（小儿）</w:t>
      </w:r>
    </w:p>
    <w:p>
      <w:r>
        <w:t>招标参数：</w:t>
      </w:r>
    </w:p>
    <w:p>
      <w:bookmarkStart w:id="0" w:name="_GoBack"/>
      <w:bookmarkEnd w:id="0"/>
      <w:r>
        <w:rPr>
          <w:rFonts w:eastAsia="宋体"/>
        </w:rPr>
        <w:t>1.工作长度：≥430mm；</w:t>
      </w:r>
      <w:r>
        <w:br w:type="textWrapping"/>
      </w:r>
      <w:r>
        <w:rPr>
          <w:rFonts w:eastAsia="宋体"/>
        </w:rPr>
        <w:t>2.视场角／(°) ：≥75°；</w:t>
      </w:r>
      <w:r>
        <w:br w:type="textWrapping"/>
      </w:r>
      <w:r>
        <w:rPr>
          <w:rFonts w:eastAsia="宋体"/>
        </w:rPr>
        <w:t>3.视场中心角分辨力： 0.8C/(°)；（±5%）</w:t>
      </w:r>
      <w:r>
        <w:br w:type="textWrapping"/>
      </w:r>
      <w:r>
        <w:rPr>
          <w:rFonts w:eastAsia="宋体"/>
        </w:rPr>
        <w:t>▲4.有效景深范围（可清晰观察范围）</w:t>
      </w:r>
      <w:r>
        <w:rPr>
          <w:rFonts w:hint="eastAsia"/>
          <w:lang w:val="en-US" w:eastAsia="zh-CN"/>
        </w:rPr>
        <w:t>不小于</w:t>
      </w:r>
      <w:r>
        <w:rPr>
          <w:rFonts w:eastAsia="宋体"/>
        </w:rPr>
        <w:t>： 3～100mm；</w:t>
      </w:r>
      <w:r>
        <w:br w:type="textWrapping"/>
      </w:r>
      <w:r>
        <w:rPr>
          <w:rFonts w:eastAsia="宋体"/>
        </w:rPr>
        <w:t>5. 具有无创末端设计（末端凸起部分更平直）；</w:t>
      </w:r>
      <w:r>
        <w:br w:type="textWrapping"/>
      </w:r>
      <w:r>
        <w:rPr>
          <w:rFonts w:eastAsia="宋体"/>
        </w:rPr>
        <w:t>6.一体化设计，确保画质的清晰度；</w:t>
      </w:r>
      <w:r>
        <w:br w:type="textWrapping"/>
      </w:r>
      <w:r>
        <w:rPr>
          <w:rFonts w:eastAsia="宋体"/>
        </w:rPr>
        <w:t>7.锥形镜体；</w:t>
      </w:r>
      <w:r>
        <w:br w:type="textWrapping"/>
      </w:r>
      <w:r>
        <w:rPr>
          <w:rFonts w:eastAsia="宋体"/>
        </w:rPr>
        <w:t>8.双重密封系统;自动闭合，灌注液不外流；</w:t>
      </w:r>
      <w:r>
        <w:br w:type="textWrapping"/>
      </w:r>
      <w:r>
        <w:rPr>
          <w:rFonts w:eastAsia="宋体"/>
        </w:rPr>
        <w:t>▲9.双器械通道，可保证手术过程中灵活转换器械满足多种手术需求；</w:t>
      </w:r>
      <w:r>
        <w:br w:type="textWrapping"/>
      </w:r>
      <w:r>
        <w:rPr>
          <w:rFonts w:eastAsia="宋体"/>
        </w:rPr>
        <w:t>10.蓝宝石镜片，图像无扭曲，平面图像，超广角；</w:t>
      </w:r>
      <w:r>
        <w:br w:type="textWrapping"/>
      </w:r>
      <w:r>
        <w:rPr>
          <w:rFonts w:eastAsia="宋体"/>
        </w:rPr>
        <w:t>11.镜直径：前端6Fr，后端7.5Fr；</w:t>
      </w:r>
      <w:r>
        <w:br w:type="textWrapping"/>
      </w:r>
      <w:r>
        <w:rPr>
          <w:rFonts w:eastAsia="宋体"/>
        </w:rPr>
        <w:t>12.超广视角：5度向上视角方向；</w:t>
      </w:r>
    </w:p>
    <w:p>
      <w:pPr>
        <w:pStyle w:val="7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spacing w:beforeAutospacing="1" w:afterAutospacing="1"/>
      </w:pPr>
      <w:r>
        <w:rPr>
          <w:rFonts w:eastAsia="宋体"/>
        </w:rPr>
        <w:t xml:space="preserve">13.工作腔：1×4Fr或2×2.4Fr， </w:t>
      </w:r>
    </w:p>
    <w:p>
      <w:pPr>
        <w:pStyle w:val="7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spacing w:beforeAutospacing="1" w:afterAutospacing="1"/>
      </w:pPr>
      <w:r>
        <w:rPr>
          <w:rFonts w:eastAsia="宋体"/>
        </w:rPr>
        <w:t xml:space="preserve">工作长度：≥430mm； </w:t>
      </w:r>
    </w:p>
    <w:p>
      <w:pPr>
        <w:pStyle w:val="7"/>
      </w:pPr>
      <w:r>
        <w:rPr>
          <w:rFonts w:eastAsia="宋体"/>
        </w:rPr>
        <w:t>14.配输尿管内窥镜1支，同品牌配套异物钳一把；</w:t>
      </w:r>
      <w:r>
        <w:br w:type="textWrapping"/>
      </w:r>
      <w:r>
        <w:rPr>
          <w:rFonts w:eastAsia="宋体"/>
        </w:rPr>
        <w:t>15.配套手术器械手柄自带方向调节转轮，器械在手腕保持不动的前提下可 360°旋转。</w:t>
      </w:r>
    </w:p>
    <w:p>
      <w:pPr>
        <w:pStyle w:val="7"/>
      </w:pPr>
    </w:p>
    <w:sectPr>
      <w:headerReference r:id="rId5" w:type="first"/>
      <w:headerReference r:id="rId3" w:type="default"/>
      <w:headerReference r:id="rId4" w:type="even"/>
      <w:pgSz w:w="11907" w:h="16839"/>
      <w:pgMar w:top="400" w:right="1000" w:bottom="400" w:left="10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drawing>
        <wp:anchor distT="0" distB="0" distL="114300" distR="114300" simplePos="0" relativeHeight="251659264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905500" cy="8353425"/>
          <wp:effectExtent l="0" t="0" r="0" b="9525"/>
          <wp:wrapNone/>
          <wp:docPr id="2" name="WordPictureWatermark10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102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05500" cy="835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drawing>
        <wp:anchor distT="0" distB="0" distL="114300" distR="114300" simplePos="0" relativeHeight="251659264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905500" cy="8353425"/>
          <wp:effectExtent l="0" t="0" r="0" b="9525"/>
          <wp:wrapNone/>
          <wp:docPr id="3" name="WordPictureWatermark10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ordPictureWatermark1025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05500" cy="835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drawing>
        <wp:anchor distT="0" distB="0" distL="114300" distR="114300" simplePos="0" relativeHeight="251659264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905500" cy="8353425"/>
          <wp:effectExtent l="0" t="0" r="0" b="9525"/>
          <wp:wrapNone/>
          <wp:docPr id="1" name="WordPictureWatermark1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1027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05500" cy="835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0"/>
  <w:bordersDoNotSurroundFooter w:val="0"/>
  <w:doNotTrackMoves/>
  <w:documentProtection w:enforcement="0"/>
  <w:defaultTabStop w:val="720"/>
  <w:characterSpacingControl w:val="doNotCompress"/>
  <w:hdrShapeDefaults>
    <o:shapelayout v:ext="edit">
      <o:idmap v:ext="edit" data="3,4"/>
    </o:shapelayout>
  </w:hdrShapeDefaults>
  <w:compat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BF0A0E"/>
    <w:rsid w:val="21DC6CA7"/>
    <w:rsid w:val="55E7101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theme="minorBidi"/>
      <w:sz w:val="24"/>
      <w:szCs w:val="24"/>
      <w:lang w:val="en-US" w:eastAsia="uk-UA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5">
    <w:name w:val="产品名"/>
    <w:basedOn w:val="1"/>
    <w:qFormat/>
    <w:uiPriority w:val="0"/>
    <w:rPr>
      <w:rFonts w:ascii="宋体" w:hAnsi="宋体" w:eastAsia="宋体" w:cs="宋体"/>
      <w:b/>
      <w:sz w:val="36"/>
    </w:rPr>
  </w:style>
  <w:style w:type="paragraph" w:customStyle="1" w:styleId="6">
    <w:name w:val="产品相关信息"/>
    <w:basedOn w:val="1"/>
    <w:qFormat/>
    <w:uiPriority w:val="0"/>
    <w:pPr>
      <w:spacing w:line="360" w:lineRule="exact"/>
    </w:pPr>
    <w:rPr>
      <w:rFonts w:ascii="宋体" w:hAnsi="宋体" w:eastAsia="宋体" w:cs="宋体"/>
    </w:rPr>
  </w:style>
  <w:style w:type="paragraph" w:customStyle="1" w:styleId="7">
    <w:name w:val="参数正文"/>
    <w:basedOn w:val="1"/>
    <w:qFormat/>
    <w:uiPriority w:val="0"/>
    <w:pPr>
      <w:wordWrap/>
      <w:spacing w:before="0" w:beforeLines="0" w:beforeAutospacing="1" w:after="0" w:afterLines="0" w:afterAutospacing="1" w:line="240" w:lineRule="auto"/>
    </w:pPr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581</Words>
  <Characters>666</Characters>
  <TotalTime>0</TotalTime>
  <ScaleCrop>false</ScaleCrop>
  <LinksUpToDate>false</LinksUpToDate>
  <CharactersWithSpaces>695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2026-10-14T10:23:00Z</dcterms:created>
  <dc:creator>Administrator</dc:creator>
  <cp:lastModifiedBy>Administrator</cp:lastModifiedBy>
  <dcterms:modified xsi:type="dcterms:W3CDTF">2026-10-21T03:32:32Z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eyJoZGlkIjoiOTRlY2U4MzMxMGNhZTgwNzFmMzhkMmEzZWQyMGFjMzciLCJ1c2VySWQiOiIyNDQ3NjE3NTIifQ==</vt:lpwstr>
  </property>
  <property fmtid="{D5CDD505-2E9C-101B-9397-08002B2CF9AE}" pid="3" name="KSOProductBuildVer">
    <vt:lpwstr>2052-11.8.2.9022</vt:lpwstr>
  </property>
  <property fmtid="{D5CDD505-2E9C-101B-9397-08002B2CF9AE}" pid="4" name="ICV">
    <vt:lpwstr>EE0B57750893436C8F8F44237106D2FA_12</vt:lpwstr>
  </property>
</Properties>
</file>