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BBA512">
      <w:pPr>
        <w:pStyle w:val="8"/>
        <w:widowControl/>
        <w:spacing w:line="360" w:lineRule="auto"/>
        <w:ind w:firstLine="0" w:firstLineChars="0"/>
        <w:jc w:val="left"/>
        <w:textAlignment w:val="center"/>
        <w:rPr>
          <w:rFonts w:ascii="黑体" w:hAnsi="黑体" w:eastAsia="黑体" w:cs="黑体"/>
          <w:b/>
          <w:bCs/>
          <w:sz w:val="28"/>
          <w:szCs w:val="32"/>
        </w:rPr>
      </w:pPr>
      <w:r>
        <w:rPr>
          <w:rFonts w:hint="eastAsia" w:ascii="黑体" w:hAnsi="黑体" w:eastAsia="黑体" w:cs="黑体"/>
          <w:b/>
          <w:bCs/>
          <w:sz w:val="28"/>
          <w:szCs w:val="32"/>
        </w:rPr>
        <w:t>采购清单及技术参数要求</w:t>
      </w:r>
    </w:p>
    <w:tbl>
      <w:tblPr>
        <w:tblStyle w:val="6"/>
        <w:tblpPr w:leftFromText="180" w:rightFromText="180" w:vertAnchor="text" w:horzAnchor="page" w:tblpX="683" w:tblpY="534"/>
        <w:tblOverlap w:val="never"/>
        <w:tblW w:w="14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0"/>
        <w:gridCol w:w="983"/>
        <w:gridCol w:w="2289"/>
        <w:gridCol w:w="1339"/>
        <w:gridCol w:w="7248"/>
        <w:gridCol w:w="635"/>
        <w:gridCol w:w="853"/>
        <w:gridCol w:w="883"/>
      </w:tblGrid>
      <w:tr w14:paraId="14CACE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exact"/>
        </w:trPr>
        <w:tc>
          <w:tcPr>
            <w:tcW w:w="560" w:type="dxa"/>
            <w:vAlign w:val="center"/>
          </w:tcPr>
          <w:p w14:paraId="43FC11E2">
            <w:pPr>
              <w:snapToGrid w:val="0"/>
              <w:spacing w:line="2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序号</w:t>
            </w:r>
          </w:p>
        </w:tc>
        <w:tc>
          <w:tcPr>
            <w:tcW w:w="983" w:type="dxa"/>
            <w:vAlign w:val="center"/>
          </w:tcPr>
          <w:p w14:paraId="3B615315">
            <w:pPr>
              <w:snapToGrid w:val="0"/>
              <w:spacing w:line="2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货物名称</w:t>
            </w:r>
          </w:p>
        </w:tc>
        <w:tc>
          <w:tcPr>
            <w:tcW w:w="2289" w:type="dxa"/>
            <w:vAlign w:val="center"/>
          </w:tcPr>
          <w:p w14:paraId="7B60E263">
            <w:pPr>
              <w:snapToGrid w:val="0"/>
              <w:spacing w:line="2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图示</w:t>
            </w:r>
          </w:p>
        </w:tc>
        <w:tc>
          <w:tcPr>
            <w:tcW w:w="1339" w:type="dxa"/>
            <w:vAlign w:val="center"/>
          </w:tcPr>
          <w:p w14:paraId="5C4AEB84">
            <w:pPr>
              <w:snapToGrid w:val="0"/>
              <w:spacing w:line="2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规格尺寸</w:t>
            </w:r>
          </w:p>
        </w:tc>
        <w:tc>
          <w:tcPr>
            <w:tcW w:w="7248" w:type="dxa"/>
            <w:vAlign w:val="center"/>
          </w:tcPr>
          <w:p w14:paraId="7C0C5A83">
            <w:pPr>
              <w:snapToGrid w:val="0"/>
              <w:spacing w:line="2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材质</w:t>
            </w:r>
          </w:p>
        </w:tc>
        <w:tc>
          <w:tcPr>
            <w:tcW w:w="635" w:type="dxa"/>
            <w:vAlign w:val="center"/>
          </w:tcPr>
          <w:p w14:paraId="24757D67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853" w:type="dxa"/>
            <w:vAlign w:val="center"/>
          </w:tcPr>
          <w:p w14:paraId="0CE2F778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数量</w:t>
            </w:r>
          </w:p>
        </w:tc>
        <w:tc>
          <w:tcPr>
            <w:tcW w:w="883" w:type="dxa"/>
            <w:vAlign w:val="center"/>
          </w:tcPr>
          <w:p w14:paraId="18527FF3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备注</w:t>
            </w:r>
          </w:p>
        </w:tc>
      </w:tr>
      <w:tr w14:paraId="0F084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0" w:hRule="exact"/>
        </w:trPr>
        <w:tc>
          <w:tcPr>
            <w:tcW w:w="560" w:type="dxa"/>
            <w:vAlign w:val="center"/>
          </w:tcPr>
          <w:p w14:paraId="3C42F20A">
            <w:pPr>
              <w:jc w:val="center"/>
            </w:pPr>
            <w:r>
              <w:t>1</w:t>
            </w:r>
          </w:p>
        </w:tc>
        <w:tc>
          <w:tcPr>
            <w:tcW w:w="983" w:type="dxa"/>
            <w:vAlign w:val="center"/>
          </w:tcPr>
          <w:p w14:paraId="7D045BA9">
            <w:pPr>
              <w:jc w:val="center"/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诊断桌</w:t>
            </w:r>
          </w:p>
        </w:tc>
        <w:tc>
          <w:tcPr>
            <w:tcW w:w="2289" w:type="dxa"/>
            <w:vAlign w:val="center"/>
          </w:tcPr>
          <w:p w14:paraId="545CC136">
            <w:pPr>
              <w:jc w:val="center"/>
            </w:pPr>
            <w:r>
              <w:drawing>
                <wp:inline distT="0" distB="0" distL="114300" distR="114300">
                  <wp:extent cx="1358265" cy="998855"/>
                  <wp:effectExtent l="0" t="0" r="13335" b="10795"/>
                  <wp:docPr id="101" name="Picture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265" cy="998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vAlign w:val="center"/>
          </w:tcPr>
          <w:p w14:paraId="3477AA81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1400*600*750</w:t>
            </w:r>
          </w:p>
        </w:tc>
        <w:tc>
          <w:tcPr>
            <w:tcW w:w="7248" w:type="dxa"/>
          </w:tcPr>
          <w:p w14:paraId="375AA903">
            <w:pPr>
              <w:snapToGrid w:val="0"/>
              <w:spacing w:line="220" w:lineRule="exac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1、基材为▲实木多层板：依据GB/T 9846-2015《普通胶合板》GB18580-2017《室内装饰装修材料人造板及其制品甲醛释放限量，GB/T35601-2017《绿色产品评价 人造板和木质地板-》；GB/T 17657-2013《人造板及饰面人造板理化性能试验方法》；JC/T 2039-2010《抗菌防霉木质装饰板》；GB/T 39600-2021《人造板及其制品甲醛释放量分级》；含水率≤8.7%，内胶合强度≥0.55Mpa；甲醛释放限量≤0.026 mg/m³，挥发性有机化物(72h)中苯、甲苯未检出，二甲苯≤14，总挥发性有机化合物（TVOC）≤52；</w:t>
            </w:r>
          </w:p>
          <w:p w14:paraId="3EBB3416">
            <w:pPr>
              <w:snapToGrid w:val="0"/>
              <w:spacing w:line="220" w:lineRule="exac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2、PVC封边条:依据QB/T4463-2013《家具用封边条技术要求》；封边条有害物质限量，铅≤13mg/kg，镉＜5mg/kg，铬＜5mg/kg，汞＜5mg/kg；</w:t>
            </w:r>
          </w:p>
          <w:p w14:paraId="7D976E42">
            <w:pPr>
              <w:snapToGrid w:val="0"/>
              <w:spacing w:line="220" w:lineRule="exac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3、▲胶粘剂：依据GB 18583-2008《室内装饰装修材料 胶粘剂中有害物质限量》标准，游离甲醛≤0.02g/kg，苯、甲苯+二甲苯未检出；</w:t>
            </w:r>
          </w:p>
          <w:p w14:paraId="137CE432">
            <w:pPr>
              <w:snapToGrid w:val="0"/>
              <w:spacing w:line="220" w:lineRule="exac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4、三节路轨：依据QB/T2454-2013《家具五金 抽屉导轨》、QB/T3832-1999《轻工产品金属镀层腐蚀试验结果的评价》、QB/T3827-1999《轻工产品金属镀层和化学处理层的耐磨腐蚀试验方法 乙酸盐雾试验（ASS)法》、GB/T 3325-2017《金属家具通用技术条件》，外观性能要求：合格；过载垂直向下静载荷商用型/300N、水平侧向静载荷商用型/150N、猛关或猛开商用型/10次，都合格；功能耐久性：12万次功能无损坏，合格；乙酸盐雾试验(ASS)连续喷雾220h，镀(涂)层对基体的保护等级≥9级，镀(涂)层本身耐腐蚀等级≥9级；</w:t>
            </w:r>
          </w:p>
          <w:p w14:paraId="37657B2B">
            <w:pPr>
              <w:snapToGrid w:val="0"/>
              <w:spacing w:line="220" w:lineRule="exac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5、锁具：依据QB/T 1621-2015《家具锁》、QB/T 3826-1999《轻工产品金属镀层和化学处理层的耐腐蚀试验方法 中性盐雾试验（NSS)法》、QB/T3832-1999《轻工产品金属镀层腐蚀试验结果的评价》，牢固度中弹子锁、叶片锁使用寿命10000次，满足要求；灵活度中钥匙开启扭矩不大于0.34N*m；中性盐雾试验(NSS）连续喷雾310h，镀(涂)层对基体的保护等级≥9级，镀(涂)层本身耐腐蚀等级≥9级；</w:t>
            </w:r>
          </w:p>
          <w:p w14:paraId="22558ACD">
            <w:pPr>
              <w:snapToGrid w:val="0"/>
              <w:spacing w:line="220" w:lineRule="exac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6、铝合金拉手：依据GB/T10125-2012《人造气氛腐蚀试验 盐雾试验》、QB/T 3832-1999 《轻工产品金属镀层腐蚀试验结果的评价》；经240h乙酸盐雾试验(AASS试验)后，耐腐蚀等级为10；</w:t>
            </w:r>
          </w:p>
        </w:tc>
        <w:tc>
          <w:tcPr>
            <w:tcW w:w="635" w:type="dxa"/>
            <w:vAlign w:val="center"/>
          </w:tcPr>
          <w:p w14:paraId="23E7554F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张</w:t>
            </w:r>
          </w:p>
        </w:tc>
        <w:tc>
          <w:tcPr>
            <w:tcW w:w="853" w:type="dxa"/>
            <w:vAlign w:val="center"/>
          </w:tcPr>
          <w:p w14:paraId="670FF2C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135</w:t>
            </w:r>
          </w:p>
          <w:p w14:paraId="00B116F8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</w:p>
        </w:tc>
        <w:tc>
          <w:tcPr>
            <w:tcW w:w="883" w:type="dxa"/>
            <w:vAlign w:val="center"/>
          </w:tcPr>
          <w:p w14:paraId="17D8EC90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5"/>
                <w:szCs w:val="15"/>
              </w:rPr>
            </w:pPr>
          </w:p>
        </w:tc>
      </w:tr>
      <w:tr w14:paraId="12FE05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1" w:hRule="exact"/>
        </w:trPr>
        <w:tc>
          <w:tcPr>
            <w:tcW w:w="560" w:type="dxa"/>
            <w:vMerge w:val="restart"/>
            <w:vAlign w:val="center"/>
          </w:tcPr>
          <w:p w14:paraId="1BB17D0E">
            <w:pPr>
              <w:spacing w:before="1765" w:after="1735"/>
              <w:ind w:left="230" w:right="-18"/>
            </w:pPr>
            <w:r>
              <w:rPr>
                <w:rFonts w:hint="eastAsia"/>
              </w:rPr>
              <w:t>2</w:t>
            </w:r>
          </w:p>
        </w:tc>
        <w:tc>
          <w:tcPr>
            <w:tcW w:w="983" w:type="dxa"/>
            <w:vAlign w:val="center"/>
          </w:tcPr>
          <w:p w14:paraId="1CAE749A">
            <w:pPr>
              <w:spacing w:before="1765" w:after="1735"/>
              <w:ind w:right="-18"/>
              <w:jc w:val="center"/>
              <w:rPr>
                <w:color w:val="FF0000"/>
              </w:rPr>
            </w:pPr>
            <w:r>
              <w:rPr>
                <w:rFonts w:ascii="宋体" w:hAnsi="宋体" w:cs="宋体"/>
                <w:color w:val="000000"/>
                <w:sz w:val="17"/>
                <w:szCs w:val="17"/>
              </w:rPr>
              <w:t>办公桌</w:t>
            </w:r>
          </w:p>
        </w:tc>
        <w:tc>
          <w:tcPr>
            <w:tcW w:w="2289" w:type="dxa"/>
            <w:vAlign w:val="center"/>
          </w:tcPr>
          <w:p w14:paraId="25A113D3">
            <w:pPr>
              <w:jc w:val="center"/>
            </w:pPr>
            <w:r>
              <w:drawing>
                <wp:inline distT="0" distB="0" distL="114300" distR="114300">
                  <wp:extent cx="1291590" cy="850265"/>
                  <wp:effectExtent l="0" t="0" r="3810" b="6985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85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vAlign w:val="center"/>
          </w:tcPr>
          <w:p w14:paraId="4632C009">
            <w:pPr>
              <w:spacing w:before="1765" w:after="1735"/>
              <w:ind w:left="219" w:right="-18"/>
            </w:pPr>
            <w:r>
              <w:rPr>
                <w:rFonts w:ascii="宋体" w:hAnsi="宋体" w:cs="宋体"/>
                <w:color w:val="000000"/>
                <w:sz w:val="16"/>
                <w:szCs w:val="16"/>
              </w:rPr>
              <w:t>1</w:t>
            </w:r>
            <w:r>
              <w:rPr>
                <w:rFonts w:hint="eastAsia" w:ascii="宋体" w:hAnsi="宋体" w:cs="宋体"/>
                <w:color w:val="000000"/>
                <w:sz w:val="16"/>
                <w:szCs w:val="16"/>
              </w:rPr>
              <w:t>4</w:t>
            </w:r>
            <w:r>
              <w:rPr>
                <w:rFonts w:ascii="宋体" w:hAnsi="宋体" w:cs="宋体"/>
                <w:color w:val="000000"/>
                <w:sz w:val="16"/>
                <w:szCs w:val="16"/>
              </w:rPr>
              <w:t>00*</w:t>
            </w:r>
            <w:r>
              <w:rPr>
                <w:rFonts w:hint="eastAsia" w:ascii="宋体" w:hAnsi="宋体" w:cs="宋体"/>
                <w:color w:val="000000"/>
                <w:sz w:val="16"/>
                <w:szCs w:val="16"/>
              </w:rPr>
              <w:t>7</w:t>
            </w:r>
            <w:r>
              <w:rPr>
                <w:rFonts w:ascii="宋体" w:hAnsi="宋体" w:cs="宋体"/>
                <w:color w:val="000000"/>
                <w:sz w:val="16"/>
                <w:szCs w:val="16"/>
              </w:rPr>
              <w:t>00*750</w:t>
            </w:r>
          </w:p>
        </w:tc>
        <w:tc>
          <w:tcPr>
            <w:tcW w:w="7248" w:type="dxa"/>
            <w:vMerge w:val="restart"/>
          </w:tcPr>
          <w:p w14:paraId="20DC67DC">
            <w:pPr>
              <w:pStyle w:val="4"/>
              <w:ind w:left="0" w:leftChars="0" w:firstLine="0" w:firstLineChars="0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1、基材为实</w:t>
            </w:r>
            <w:r>
              <w:rPr>
                <w:rFonts w:hint="eastAsia" w:asciiTheme="minorHAnsi" w:hAnsiTheme="minorHAnsi"/>
                <w:sz w:val="18"/>
                <w:szCs w:val="18"/>
              </w:rPr>
              <w:t>木多层板：</w:t>
            </w: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依据GB/T 9846-2015《普通胶合板》GB18580-2017《室内装饰装修材料人造板及其制品甲醛释放限量，GB/T35601-2017《绿色产品评价 人造板和木质地板-》；GB/T 17657-2013《人造板及饰面人造板理化性能试验方法》；JC/T 2039-2010《抗菌防霉木质装饰板》；GB/T 39600-2021《人造板及其制品甲醛释放量分级》；含水率≤8.7%，内胶合强度≥0.55Mpa；甲醛释放限量≤0.026 mg/m³，挥发性有机化物(72h)中苯、甲苯未检出，二甲苯≤14，总挥发性有机化合物（TVOC）≤52；</w:t>
            </w:r>
          </w:p>
          <w:p w14:paraId="44670D41">
            <w:pPr>
              <w:pStyle w:val="4"/>
              <w:ind w:left="0" w:leftChars="0" w:firstLine="0" w:firstLineChars="0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2、▲PVC封边条:依据QB/T4463-2013《家具用封边条技术要求》；封边条有害物质限量，铅≤13mg/kg，镉＜5mg/kg，铬＜5mg/kg，汞＜5mg/kg；</w:t>
            </w:r>
          </w:p>
          <w:p w14:paraId="10F19B2E">
            <w:pPr>
              <w:pStyle w:val="4"/>
              <w:ind w:left="0" w:leftChars="0" w:firstLine="0" w:firstLineChars="0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3、胶粘剂：依据GB 18583-2008《室内装饰装修材料 胶粘剂中有害物质限量》标准，游离甲醛≤0.02g/kg，苯、甲苯+二甲苯未检出；</w:t>
            </w:r>
          </w:p>
          <w:p w14:paraId="7BB6F0D4">
            <w:pPr>
              <w:pStyle w:val="4"/>
              <w:ind w:left="0" w:leftChars="0" w:firstLine="0" w:firstLineChars="0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4、三节路轨：依据QB/T2454-2013《家具五金 抽屉导轨》、QB/T3832-1999《轻工产品金属镀层腐蚀试验结果的评价》、QB/T3827-1999《轻工产品金属镀层和化学处理层的耐磨腐蚀试验方法 乙酸盐雾试验（ASS)法》、GB/T 3325-2017《金属家具通用技术条件》，外观性能要求：合格；过载垂直向下静载荷商用型/300N、水平侧向静载荷商用型/150N、猛关或猛开商用型/10次，都合格；功能耐久性：12万次功能无损坏，合格；乙酸盐雾试验(ASS)连续喷雾220h，镀(涂)层对基体的保护等级≥9级，镀(涂)层本身耐腐蚀等级≥9级；</w:t>
            </w:r>
          </w:p>
          <w:p w14:paraId="12E3EDD3">
            <w:pPr>
              <w:pStyle w:val="4"/>
              <w:ind w:left="0" w:leftChars="0" w:firstLine="0" w:firstLineChars="0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5、锁具：依据QB/T 1621-2015《家具锁》、QB/T 3826-1999《轻工产品金属镀层和化学处理层的耐腐蚀试验方法 中性盐雾试验（NSS)法》、QB/T3832-1999《轻工产品金属镀层腐蚀试验结果的评价》，牢固度中弹子锁、叶片锁使用寿命10000次，满足要求；灵活度中钥匙开启扭矩不大于0.34N*m；中性盐雾试验(NSS）连续喷雾310h，镀(涂)层对基体的保护等级≥9级，镀(涂)层本身耐腐蚀等级≥9级；</w:t>
            </w:r>
          </w:p>
          <w:p w14:paraId="4D08EC79">
            <w:pPr>
              <w:pStyle w:val="4"/>
              <w:ind w:left="0" w:leftChars="0" w:firstLine="0" w:firstLineChars="0"/>
              <w:rPr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6、▲铝合金拉手：依据GB/T10125-2012《人造气氛腐蚀试验 盐雾试验》、QB/T 3832-1999 《轻工产品金属镀层腐蚀试验结果的评价》；经240h乙酸盐雾试验(AASS试验)后，耐腐蚀等级为10；</w:t>
            </w:r>
          </w:p>
        </w:tc>
        <w:tc>
          <w:tcPr>
            <w:tcW w:w="635" w:type="dxa"/>
            <w:vAlign w:val="center"/>
          </w:tcPr>
          <w:p w14:paraId="6256D477">
            <w:pPr>
              <w:snapToGrid w:val="0"/>
              <w:jc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张</w:t>
            </w:r>
          </w:p>
        </w:tc>
        <w:tc>
          <w:tcPr>
            <w:tcW w:w="853" w:type="dxa"/>
            <w:vAlign w:val="center"/>
          </w:tcPr>
          <w:p w14:paraId="6F6205F2">
            <w:pPr>
              <w:snapToGrid w:val="0"/>
              <w:jc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eastAsia="宋体"/>
                <w:sz w:val="18"/>
                <w:szCs w:val="18"/>
                <w:lang w:val="en-US" w:eastAsia="zh-CN"/>
              </w:rPr>
              <w:t>400</w:t>
            </w:r>
          </w:p>
        </w:tc>
        <w:tc>
          <w:tcPr>
            <w:tcW w:w="883" w:type="dxa"/>
            <w:vAlign w:val="center"/>
          </w:tcPr>
          <w:p w14:paraId="466EE628">
            <w:pPr>
              <w:spacing w:before="1765" w:after="1735"/>
              <w:ind w:right="-18"/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 w14:paraId="3E77F8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6" w:hRule="exact"/>
        </w:trPr>
        <w:tc>
          <w:tcPr>
            <w:tcW w:w="560" w:type="dxa"/>
            <w:vMerge w:val="continue"/>
            <w:vAlign w:val="center"/>
          </w:tcPr>
          <w:p w14:paraId="0B66F95C">
            <w:pPr>
              <w:spacing w:before="1765" w:after="1735"/>
              <w:ind w:left="230" w:right="-18"/>
            </w:pPr>
          </w:p>
        </w:tc>
        <w:tc>
          <w:tcPr>
            <w:tcW w:w="983" w:type="dxa"/>
            <w:vAlign w:val="center"/>
          </w:tcPr>
          <w:p w14:paraId="3F4213E0">
            <w:pPr>
              <w:spacing w:before="1765" w:after="1735"/>
              <w:ind w:right="-18"/>
              <w:jc w:val="center"/>
            </w:pPr>
            <w:r>
              <w:rPr>
                <w:rFonts w:hint="eastAsia" w:ascii="宋体" w:hAnsi="宋体" w:cs="宋体"/>
                <w:color w:val="000000"/>
                <w:sz w:val="17"/>
                <w:szCs w:val="17"/>
              </w:rPr>
              <w:t>出字型六人</w:t>
            </w:r>
            <w:r>
              <w:rPr>
                <w:rFonts w:ascii="宋体" w:hAnsi="宋体" w:cs="宋体"/>
                <w:color w:val="000000"/>
                <w:sz w:val="17"/>
                <w:szCs w:val="17"/>
              </w:rPr>
              <w:t>办公桌</w:t>
            </w:r>
          </w:p>
        </w:tc>
        <w:tc>
          <w:tcPr>
            <w:tcW w:w="2289" w:type="dxa"/>
            <w:vAlign w:val="center"/>
          </w:tcPr>
          <w:p w14:paraId="46247175">
            <w:pPr>
              <w:jc w:val="center"/>
            </w:pPr>
            <w:r>
              <w:drawing>
                <wp:inline distT="0" distB="0" distL="114300" distR="114300">
                  <wp:extent cx="1181735" cy="895350"/>
                  <wp:effectExtent l="0" t="0" r="18415" b="0"/>
                  <wp:docPr id="2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3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vAlign w:val="center"/>
          </w:tcPr>
          <w:p w14:paraId="3B68F30A">
            <w:pPr>
              <w:spacing w:before="1765" w:after="1735"/>
              <w:ind w:right="-18" w:firstLine="160" w:firstLineChars="100"/>
              <w:rPr>
                <w:rFonts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sz w:val="16"/>
                <w:szCs w:val="16"/>
              </w:rPr>
              <w:t>1400*1200*1200</w:t>
            </w:r>
          </w:p>
          <w:p w14:paraId="228CC108">
            <w:pPr>
              <w:spacing w:before="1765" w:after="1735"/>
              <w:ind w:right="-18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  <w:p w14:paraId="0E436D5C">
            <w:pPr>
              <w:spacing w:before="1765" w:after="1735"/>
              <w:ind w:right="-18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7248" w:type="dxa"/>
            <w:vMerge w:val="continue"/>
          </w:tcPr>
          <w:p w14:paraId="58501D5A">
            <w:pPr>
              <w:pStyle w:val="4"/>
              <w:ind w:left="0" w:leftChars="0" w:firstLine="0" w:firstLineChars="0"/>
              <w:rPr>
                <w:sz w:val="18"/>
                <w:szCs w:val="18"/>
              </w:rPr>
            </w:pPr>
          </w:p>
        </w:tc>
        <w:tc>
          <w:tcPr>
            <w:tcW w:w="635" w:type="dxa"/>
            <w:vAlign w:val="center"/>
          </w:tcPr>
          <w:p w14:paraId="56E57C8D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张</w:t>
            </w:r>
          </w:p>
        </w:tc>
        <w:tc>
          <w:tcPr>
            <w:tcW w:w="853" w:type="dxa"/>
            <w:vAlign w:val="center"/>
          </w:tcPr>
          <w:p w14:paraId="3E79C400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2</w:t>
            </w:r>
          </w:p>
        </w:tc>
        <w:tc>
          <w:tcPr>
            <w:tcW w:w="883" w:type="dxa"/>
            <w:vAlign w:val="center"/>
          </w:tcPr>
          <w:p w14:paraId="051B6B14">
            <w:pPr>
              <w:jc w:val="center"/>
              <w:rPr>
                <w:rFonts w:hint="default" w:ascii="宋体" w:hAnsi="宋体" w:eastAsia="宋体" w:cs="宋体"/>
                <w:sz w:val="15"/>
                <w:szCs w:val="15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现场定制</w:t>
            </w:r>
          </w:p>
        </w:tc>
      </w:tr>
      <w:tr w14:paraId="56ABD9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3" w:hRule="exact"/>
        </w:trPr>
        <w:tc>
          <w:tcPr>
            <w:tcW w:w="560" w:type="dxa"/>
            <w:vAlign w:val="center"/>
          </w:tcPr>
          <w:p w14:paraId="6BC53D6E">
            <w:pPr>
              <w:snapToGrid w:val="0"/>
              <w:jc w:val="center"/>
              <w:rPr>
                <w:rFonts w:hint="eastAsia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983" w:type="dxa"/>
            <w:vAlign w:val="center"/>
          </w:tcPr>
          <w:p w14:paraId="5116D902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椅子</w:t>
            </w:r>
          </w:p>
        </w:tc>
        <w:tc>
          <w:tcPr>
            <w:tcW w:w="2289" w:type="dxa"/>
            <w:vAlign w:val="center"/>
          </w:tcPr>
          <w:p w14:paraId="12128B93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drawing>
                <wp:inline distT="0" distB="0" distL="114300" distR="114300">
                  <wp:extent cx="993140" cy="1324610"/>
                  <wp:effectExtent l="0" t="0" r="16510" b="8890"/>
                  <wp:docPr id="196" name="图片 196" descr="ee9bbb46bdb167434b13b1467a45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 196" descr="ee9bbb46bdb167434b13b1467a4553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132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vAlign w:val="center"/>
          </w:tcPr>
          <w:p w14:paraId="4BC31EE5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常规</w:t>
            </w:r>
          </w:p>
        </w:tc>
        <w:tc>
          <w:tcPr>
            <w:tcW w:w="7248" w:type="dxa"/>
            <w:vAlign w:val="center"/>
          </w:tcPr>
          <w:p w14:paraId="251DF0CC">
            <w:pPr>
              <w:snapToGrid w:val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1、基材采用实木▲木方：依据GB/T 3324-2017《木家具通用技术条件》的标准；木材含水率8.0～ 16%。2、▲科技木皮：依据GB/T 17657-2013《人造板及饰面人造板理化性能试验方法》的标准；甲醛释 放量：≤0.05mg/L。3、▲环保油漆：依据GB18581-2020《木器涂料中有害物质限量》的标准，涂料（色漆）（VOC含 量）＜200g/L，甲醛含量≤0.3mg/kg,苯系物总和含量【限苯、甲苯、二甲苯（含乙苯）】＜ 100mg/kg，多环芳总和含量（限萘、蒽）未检出； 全卯榫结构，大宝环保油漆。</w:t>
            </w:r>
          </w:p>
        </w:tc>
        <w:tc>
          <w:tcPr>
            <w:tcW w:w="635" w:type="dxa"/>
            <w:vAlign w:val="center"/>
          </w:tcPr>
          <w:p w14:paraId="3717F346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把</w:t>
            </w:r>
          </w:p>
        </w:tc>
        <w:tc>
          <w:tcPr>
            <w:tcW w:w="853" w:type="dxa"/>
            <w:vAlign w:val="center"/>
          </w:tcPr>
          <w:p w14:paraId="6F46C08F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 w:val="15"/>
                <w:szCs w:val="15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864</w:t>
            </w:r>
          </w:p>
        </w:tc>
        <w:tc>
          <w:tcPr>
            <w:tcW w:w="883" w:type="dxa"/>
            <w:vAlign w:val="center"/>
          </w:tcPr>
          <w:p w14:paraId="29BD1CD1">
            <w:pPr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</w:p>
        </w:tc>
      </w:tr>
      <w:tr w14:paraId="41FE53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2" w:hRule="exact"/>
        </w:trPr>
        <w:tc>
          <w:tcPr>
            <w:tcW w:w="560" w:type="dxa"/>
            <w:vAlign w:val="center"/>
          </w:tcPr>
          <w:p w14:paraId="57294288">
            <w:pPr>
              <w:snapToGrid w:val="0"/>
              <w:jc w:val="center"/>
              <w:rPr>
                <w:rFonts w:hint="eastAsia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983" w:type="dxa"/>
            <w:vAlign w:val="center"/>
          </w:tcPr>
          <w:p w14:paraId="1958DB9C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升降椅</w:t>
            </w:r>
          </w:p>
        </w:tc>
        <w:tc>
          <w:tcPr>
            <w:tcW w:w="2289" w:type="dxa"/>
            <w:vAlign w:val="center"/>
          </w:tcPr>
          <w:p w14:paraId="78101652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1031875" cy="1154430"/>
                  <wp:effectExtent l="0" t="0" r="15875" b="7620"/>
                  <wp:docPr id="43" name="Picture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107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1154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vAlign w:val="center"/>
          </w:tcPr>
          <w:p w14:paraId="2710976C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常规</w:t>
            </w:r>
          </w:p>
        </w:tc>
        <w:tc>
          <w:tcPr>
            <w:tcW w:w="7248" w:type="dxa"/>
          </w:tcPr>
          <w:p w14:paraId="701746E6">
            <w:pPr>
              <w:snapToGrid w:val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1、面料采用▲医疗皮：依据GB/T 16799-2018《家具用皮革》、参照 GB/T 35607-2017《绿色产品评价 家具》、QB/T 2710-2018《皮革 物理和机械试验 抗张强度和伸长率的测定》、QB/T 4045-2010《聚氨酯家居用合成革安全技术条件》、参照 GB17927.1-2011《软体家具 床垫和沙发 抗引燃特性的评定 第 1 部分:阴燃的香烟》、QB/T 4341-2012《抗菌聚氨酯合成革 抗菌性能试验方法和抗菌效果》、QB/T 4199-2011《皮革 防霉性能测定方法》，理化性能中禁用偶氮染料、游离甲醛、挥发性有机物(VOC)未检出，产品有害物质皮革中五氯苯酚(PCP)未检出，安全要求；锑(Sb)、砷(As)、铅(Pb)、镉(Cd)、铬(Cr)、铬(Cr)六价)、钻(Co)、铜(Cu)、镍(Ni)、汞(Hg)等未检出，抗引燃特性试验阴燃的香烟未观察到试样表面或内部出现任何续燃、阴燃现象，抗菌性能中白色念珠菌抗菌率≥99.9%，防霉菌性等级达到 1 级。</w:t>
            </w:r>
          </w:p>
          <w:p w14:paraId="37B8D26C">
            <w:pPr>
              <w:snapToGrid w:val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2、▲阻燃海绵:依据GB/T 10802-2006《通用软质聚醚型聚氨酯泡沫塑料》、 QB/T2280-2016《办公家具 办公椅》 、GB17927.1-2011《软体家具 床垫和沙发 抗引燃特性的评定 第一部分：阴燃的香烟；物理力学性能（回弹率≥40%，75%压缩永久变形≤3.4%，甲醛释放量≤0.024mg/m²h，通过抗引燃特性测试；</w:t>
            </w:r>
          </w:p>
          <w:p w14:paraId="7B818EC5">
            <w:pPr>
              <w:snapToGrid w:val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3、气压棒：优质气压棒，升降轻便灵活、平稳、无漏气、无噪音、角度调节灵活、可靠。</w:t>
            </w:r>
          </w:p>
          <w:p w14:paraId="21CA29E3">
            <w:pPr>
              <w:snapToGrid w:val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4、脚轮：采用尼纤维合成脚轮，过10万次测试；5.脚架：配优质尼龙五星脚架，座位可左右转动。</w:t>
            </w:r>
          </w:p>
        </w:tc>
        <w:tc>
          <w:tcPr>
            <w:tcW w:w="635" w:type="dxa"/>
            <w:vAlign w:val="center"/>
          </w:tcPr>
          <w:p w14:paraId="2C66DD3E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把</w:t>
            </w:r>
          </w:p>
        </w:tc>
        <w:tc>
          <w:tcPr>
            <w:tcW w:w="853" w:type="dxa"/>
            <w:vAlign w:val="center"/>
          </w:tcPr>
          <w:p w14:paraId="614535AE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 w:val="15"/>
                <w:szCs w:val="15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</w:t>
            </w:r>
          </w:p>
        </w:tc>
        <w:tc>
          <w:tcPr>
            <w:tcW w:w="883" w:type="dxa"/>
            <w:vAlign w:val="center"/>
          </w:tcPr>
          <w:p w14:paraId="211C67F9">
            <w:pPr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带滑轮，可升降</w:t>
            </w:r>
          </w:p>
        </w:tc>
      </w:tr>
      <w:tr w14:paraId="224D0B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4" w:hRule="exact"/>
        </w:trPr>
        <w:tc>
          <w:tcPr>
            <w:tcW w:w="560" w:type="dxa"/>
            <w:vAlign w:val="center"/>
          </w:tcPr>
          <w:p w14:paraId="232853A9">
            <w:pPr>
              <w:snapToGrid w:val="0"/>
              <w:jc w:val="center"/>
              <w:rPr>
                <w:rFonts w:hint="eastAsia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983" w:type="dxa"/>
            <w:vAlign w:val="center"/>
          </w:tcPr>
          <w:p w14:paraId="16161022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电脑椅</w:t>
            </w:r>
          </w:p>
        </w:tc>
        <w:tc>
          <w:tcPr>
            <w:tcW w:w="2289" w:type="dxa"/>
            <w:vAlign w:val="center"/>
          </w:tcPr>
          <w:p w14:paraId="4DB18B0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1209040" cy="1035685"/>
                  <wp:effectExtent l="0" t="0" r="10160" b="12065"/>
                  <wp:docPr id="45" name="Picture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105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40" cy="1035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vAlign w:val="center"/>
          </w:tcPr>
          <w:p w14:paraId="06A5E8C9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常规</w:t>
            </w:r>
          </w:p>
        </w:tc>
        <w:tc>
          <w:tcPr>
            <w:tcW w:w="7248" w:type="dxa"/>
          </w:tcPr>
          <w:p w14:paraId="746619C1">
            <w:pPr>
              <w:snapToGrid w:val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1、▲布料：依据GB/T 1952.1-2012《软体家具  沙发》的标准；覆面材料理化性能：各种面料颜 色干摩擦色牢度不应小于4级。                                                          2、▲原生海绵：依据QB/T 1952.2-2011 《软体家具  弹簧软床垫》标准和QB/T 1952.1-2012《软 体家具 沙发》的标准；产品用料、加工：泡沫塑料：①座面表观密度＞52kg/m³；②回弹性能 （除慢回弹泡沫塑料外）≥55%。铺垫料物理性能：软质聚氨酯泡沫塑料：其他拉伸强度≥ 117KPa；                                                                              3.气压棒：优质气压棒，升降轻便灵活、平稳、无漏气、无噪音、角度调节灵活、可靠。 4.脚轮：采用尼纤维合成脚轮，过10万次测试；5.脚架：配优质尼龙五星脚架，座位可左右转动。</w:t>
            </w:r>
          </w:p>
        </w:tc>
        <w:tc>
          <w:tcPr>
            <w:tcW w:w="635" w:type="dxa"/>
            <w:vAlign w:val="center"/>
          </w:tcPr>
          <w:p w14:paraId="277F95C0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把</w:t>
            </w:r>
          </w:p>
        </w:tc>
        <w:tc>
          <w:tcPr>
            <w:tcW w:w="853" w:type="dxa"/>
            <w:vAlign w:val="center"/>
          </w:tcPr>
          <w:p w14:paraId="5AC7772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15"/>
                <w:szCs w:val="15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0</w:t>
            </w:r>
          </w:p>
        </w:tc>
        <w:tc>
          <w:tcPr>
            <w:tcW w:w="883" w:type="dxa"/>
            <w:vAlign w:val="center"/>
          </w:tcPr>
          <w:p w14:paraId="7D88A43E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带滑轮</w:t>
            </w:r>
          </w:p>
        </w:tc>
      </w:tr>
      <w:tr w14:paraId="776D30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3" w:hRule="exact"/>
        </w:trPr>
        <w:tc>
          <w:tcPr>
            <w:tcW w:w="560" w:type="dxa"/>
            <w:vAlign w:val="center"/>
          </w:tcPr>
          <w:p w14:paraId="5BD039C2">
            <w:pPr>
              <w:snapToGrid w:val="0"/>
              <w:jc w:val="center"/>
              <w:rPr>
                <w:rFonts w:hint="eastAsia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983" w:type="dxa"/>
            <w:vAlign w:val="center"/>
          </w:tcPr>
          <w:p w14:paraId="4F3D36C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方凳</w:t>
            </w:r>
          </w:p>
        </w:tc>
        <w:tc>
          <w:tcPr>
            <w:tcW w:w="2289" w:type="dxa"/>
            <w:vAlign w:val="center"/>
          </w:tcPr>
          <w:p w14:paraId="3A550B1A">
            <w:pPr>
              <w:snapToGrid w:val="0"/>
              <w:jc w:val="center"/>
              <w:rPr>
                <w:sz w:val="18"/>
                <w:szCs w:val="18"/>
              </w:rPr>
            </w:pPr>
            <w:r>
              <w:drawing>
                <wp:inline distT="0" distB="0" distL="114300" distR="114300">
                  <wp:extent cx="875030" cy="1050290"/>
                  <wp:effectExtent l="0" t="0" r="1270" b="16510"/>
                  <wp:docPr id="2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3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vAlign w:val="center"/>
          </w:tcPr>
          <w:p w14:paraId="1D2BCC7D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330*250*450</w:t>
            </w:r>
          </w:p>
        </w:tc>
        <w:tc>
          <w:tcPr>
            <w:tcW w:w="7248" w:type="dxa"/>
          </w:tcPr>
          <w:p w14:paraId="5EEA10E5">
            <w:pPr>
              <w:snapToGrid w:val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1、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凳腿</w:t>
            </w:r>
            <w:r>
              <w:rPr>
                <w:rFonts w:hint="eastAsia"/>
                <w:sz w:val="18"/>
                <w:szCs w:val="18"/>
              </w:rPr>
              <w:t>采用实木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橡胶木</w:t>
            </w:r>
            <w:r>
              <w:rPr>
                <w:rFonts w:hint="eastAsia"/>
                <w:sz w:val="18"/>
                <w:szCs w:val="18"/>
              </w:rPr>
              <w:t>木方：依据GB/T 3324-2017《木家具通用技术条件》的标准；木材含水率8.0～ 16%。</w:t>
            </w:r>
          </w:p>
          <w:p w14:paraId="3CA88D9E">
            <w:pPr>
              <w:snapToGrid w:val="0"/>
              <w:jc w:val="left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</w:rPr>
              <w:t>2、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凳面：橡胶木</w:t>
            </w:r>
          </w:p>
          <w:p w14:paraId="76EB555B">
            <w:pPr>
              <w:snapToGrid w:val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3、▲环保油漆：依据GB18581-2020《木器涂料中有害物质限量》的标准，涂料（色漆）（VOC含 量）＜200g/L，甲醛含量≤0.3mg/kg,苯系物总和含量【限苯、甲苯、二甲苯（含乙苯）】＜ 100mg/kg，多环芳总和含量（限萘、蒽）未检出； 全卯榫结构，大宝环保油漆。</w:t>
            </w:r>
          </w:p>
        </w:tc>
        <w:tc>
          <w:tcPr>
            <w:tcW w:w="635" w:type="dxa"/>
            <w:vAlign w:val="center"/>
          </w:tcPr>
          <w:p w14:paraId="7B6AC7D7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个</w:t>
            </w:r>
          </w:p>
        </w:tc>
        <w:tc>
          <w:tcPr>
            <w:tcW w:w="853" w:type="dxa"/>
            <w:vAlign w:val="center"/>
          </w:tcPr>
          <w:p w14:paraId="3A38B57D">
            <w:pPr>
              <w:widowControl/>
              <w:jc w:val="both"/>
              <w:textAlignment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800</w:t>
            </w:r>
          </w:p>
        </w:tc>
        <w:tc>
          <w:tcPr>
            <w:tcW w:w="883" w:type="dxa"/>
            <w:vAlign w:val="center"/>
          </w:tcPr>
          <w:p w14:paraId="50C38B1A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5"/>
                <w:szCs w:val="15"/>
              </w:rPr>
            </w:pPr>
          </w:p>
        </w:tc>
      </w:tr>
      <w:tr w14:paraId="395627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4" w:hRule="exact"/>
        </w:trPr>
        <w:tc>
          <w:tcPr>
            <w:tcW w:w="560" w:type="dxa"/>
            <w:vAlign w:val="center"/>
          </w:tcPr>
          <w:p w14:paraId="4B0313AD">
            <w:pPr>
              <w:snapToGrid w:val="0"/>
              <w:jc w:val="center"/>
              <w:rPr>
                <w:rFonts w:hint="eastAsia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983" w:type="dxa"/>
            <w:vAlign w:val="center"/>
          </w:tcPr>
          <w:p w14:paraId="4AC30B4D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床头柜</w:t>
            </w:r>
          </w:p>
        </w:tc>
        <w:tc>
          <w:tcPr>
            <w:tcW w:w="2289" w:type="dxa"/>
            <w:vAlign w:val="center"/>
          </w:tcPr>
          <w:p w14:paraId="04D94D55">
            <w:pPr>
              <w:snapToGrid w:val="0"/>
              <w:jc w:val="center"/>
              <w:rPr>
                <w:sz w:val="18"/>
                <w:szCs w:val="18"/>
              </w:rPr>
            </w:pPr>
            <w:r>
              <w:drawing>
                <wp:inline distT="0" distB="0" distL="114300" distR="114300">
                  <wp:extent cx="704850" cy="910590"/>
                  <wp:effectExtent l="0" t="0" r="0" b="3810"/>
                  <wp:docPr id="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2" r:link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1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vAlign w:val="center"/>
          </w:tcPr>
          <w:p w14:paraId="5C36AB8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400*450*500</w:t>
            </w:r>
          </w:p>
        </w:tc>
        <w:tc>
          <w:tcPr>
            <w:tcW w:w="7248" w:type="dxa"/>
          </w:tcPr>
          <w:p w14:paraId="5FCC231E">
            <w:pPr>
              <w:snapToGrid w:val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1、基材为实木多层板：依据GB/T 9846-2015《普通胶合板》GB18580-2017《室内装饰装修材料人造板及其制品甲醛释放限量，GB/T35601-2017《绿色产品评价 人造板和木质地板-》；GB/T 17657-2013《人造板及饰面人造板理化性能试验方法》；JC/T 2039-2010《抗菌防霉木质装饰板》；GB/T 39600-2021《人造板及其制品甲醛释放量分级》；含水率≤8.7%，内胶合强度≥0.55Mpa；甲醛释放限量≤0.026 mg/m³，挥发性有机化物(72h)中苯、甲苯未检出，二甲苯≤14，总挥发性有机化合物（TVOC）≤52；</w:t>
            </w:r>
          </w:p>
          <w:p w14:paraId="23CF6A0C">
            <w:pPr>
              <w:snapToGrid w:val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2、PVC封边条:依据QB/T4463-2013《家具用封边条技术要求》；封边条有害物质限量，铅≤13mg/kg，镉＜5mg/kg，铬＜5mg/kg，汞＜5mg/kg；</w:t>
            </w:r>
          </w:p>
          <w:p w14:paraId="6587BA68">
            <w:pPr>
              <w:snapToGrid w:val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3、胶粘剂：依据GB 18583-2008《室内装饰装修材料 胶粘剂中有害物质限量》标准，游离甲醛≤0.02g/kg，苯、甲苯+二甲苯未检出；</w:t>
            </w:r>
          </w:p>
          <w:p w14:paraId="25C942FE">
            <w:pPr>
              <w:snapToGrid w:val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4、不锈钢铰链：依据QB/T2189-2013 《家具五金杯状暗铰链》、GB/T 10125-2012 《人造气氛腐蚀试验盐雾试验》；耐久性，15万次耐久性后合格，经240h乙酸盐雾试验(AASS试验)后，基体金属1dm²内锈点个数为0,耐腐蚀等级为10级；</w:t>
            </w:r>
          </w:p>
          <w:p w14:paraId="335798C7">
            <w:pPr>
              <w:snapToGrid w:val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5、三合一连接件：依据QB/T3827-1999《轻工产品金属镀层和化学处理层的耐腐蚀试验方法 乙酸盐雾试验（ASS)法》、QB/T3832-1999《轻工产品金属镀层腐蚀试验结果的评价》；金属表面耐腐蚀，乙酸盐雾连续喷雾120H后镀层本身的耐腐蚀等级达到10级，镀层对基体的保护等级达到10级；</w:t>
            </w:r>
          </w:p>
          <w:p w14:paraId="60161EEA">
            <w:pPr>
              <w:snapToGrid w:val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6、锁具：依据QB/T 1621-2015《家具锁》、QB/T 3826-1999《轻工产品金属镀层和化学处理层的耐腐蚀试验方法 中性盐雾试验（NSS)法》、QB/T3832-1999《轻工产品金属镀层腐蚀试验结果的评价》，牢固度中弹子锁、叶片锁使用寿命10000次，满足要求；灵活度中钥匙开启扭矩不大于0.34N*m；中性盐雾试验(NSS）连续喷雾310h，镀(涂)层对基体的保护等级≥9级，镀(涂)层本身耐腐蚀等级≥9级；</w:t>
            </w:r>
          </w:p>
        </w:tc>
        <w:tc>
          <w:tcPr>
            <w:tcW w:w="635" w:type="dxa"/>
            <w:vAlign w:val="center"/>
          </w:tcPr>
          <w:p w14:paraId="73F52490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个</w:t>
            </w:r>
          </w:p>
        </w:tc>
        <w:tc>
          <w:tcPr>
            <w:tcW w:w="853" w:type="dxa"/>
            <w:vAlign w:val="center"/>
          </w:tcPr>
          <w:p w14:paraId="2382F5E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120</w:t>
            </w:r>
          </w:p>
          <w:p w14:paraId="68A7BE31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</w:p>
        </w:tc>
        <w:tc>
          <w:tcPr>
            <w:tcW w:w="883" w:type="dxa"/>
            <w:vAlign w:val="center"/>
          </w:tcPr>
          <w:p w14:paraId="49F1A111">
            <w:pPr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</w:p>
        </w:tc>
      </w:tr>
      <w:tr w14:paraId="16EDFD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5" w:hRule="exact"/>
        </w:trPr>
        <w:tc>
          <w:tcPr>
            <w:tcW w:w="560" w:type="dxa"/>
            <w:vAlign w:val="center"/>
          </w:tcPr>
          <w:p w14:paraId="69C28B71">
            <w:pPr>
              <w:snapToGrid w:val="0"/>
              <w:jc w:val="center"/>
              <w:rPr>
                <w:rFonts w:hint="eastAsia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983" w:type="dxa"/>
            <w:vAlign w:val="center"/>
          </w:tcPr>
          <w:p w14:paraId="1C6A671D">
            <w:pPr>
              <w:snapToGrid w:val="0"/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会议椅</w:t>
            </w:r>
          </w:p>
        </w:tc>
        <w:tc>
          <w:tcPr>
            <w:tcW w:w="2289" w:type="dxa"/>
            <w:vAlign w:val="center"/>
          </w:tcPr>
          <w:p w14:paraId="36535EB4">
            <w:pPr>
              <w:snapToGrid w:val="0"/>
              <w:jc w:val="center"/>
              <w:rPr>
                <w:sz w:val="18"/>
                <w:szCs w:val="18"/>
              </w:rPr>
            </w:pPr>
            <w:r>
              <w:drawing>
                <wp:inline distT="0" distB="0" distL="114300" distR="114300">
                  <wp:extent cx="1445260" cy="875030"/>
                  <wp:effectExtent l="0" t="0" r="2540" b="127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vAlign w:val="center"/>
          </w:tcPr>
          <w:p w14:paraId="63B1B488">
            <w:pPr>
              <w:snapToGrid w:val="0"/>
              <w:jc w:val="both"/>
              <w:rPr>
                <w:sz w:val="18"/>
                <w:szCs w:val="18"/>
              </w:rPr>
            </w:pPr>
          </w:p>
        </w:tc>
        <w:tc>
          <w:tcPr>
            <w:tcW w:w="7248" w:type="dxa"/>
            <w:vAlign w:val="center"/>
          </w:tcPr>
          <w:p w14:paraId="0716A189">
            <w:pPr>
              <w:snapToGrid w:val="0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Microsoft YaHei UI" w:hAnsi="Microsoft YaHei UI" w:eastAsia="Microsoft YaHei UI" w:cs="Microsoft YaHei UI"/>
                <w:i w:val="0"/>
                <w:caps w:val="0"/>
                <w:color w:val="353535"/>
                <w:spacing w:val="0"/>
                <w:sz w:val="21"/>
                <w:szCs w:val="21"/>
                <w:shd w:val="clear" w:color="auto" w:fill="auto"/>
                <w:lang w:val="en-US" w:eastAsia="zh-CN"/>
              </w:rPr>
              <w:t>1、</w:t>
            </w:r>
            <w:r>
              <w:rPr>
                <w:rFonts w:ascii="Microsoft YaHei UI" w:hAnsi="Microsoft YaHei UI" w:eastAsia="Microsoft YaHei UI" w:cs="Microsoft YaHei UI"/>
                <w:i w:val="0"/>
                <w:caps w:val="0"/>
                <w:color w:val="353535"/>
                <w:spacing w:val="0"/>
                <w:sz w:val="21"/>
                <w:szCs w:val="21"/>
                <w:shd w:val="clear" w:color="auto" w:fill="auto"/>
              </w:rPr>
              <w:t>面料：优质超纤皮革（厚度≥1.1 ㎜），其具有良好的物理力学性能和化学稳定性，韧性强。</w:t>
            </w:r>
            <w:r>
              <w:rPr>
                <w:rFonts w:hint="eastAsia" w:ascii="Microsoft YaHei UI" w:hAnsi="Microsoft YaHei UI" w:eastAsia="Microsoft YaHei UI" w:cs="Microsoft YaHei UI"/>
                <w:i w:val="0"/>
                <w:caps w:val="0"/>
                <w:color w:val="353535"/>
                <w:spacing w:val="0"/>
                <w:sz w:val="21"/>
                <w:szCs w:val="21"/>
                <w:shd w:val="clear" w:color="auto" w:fill="auto"/>
                <w:lang w:val="en-US" w:eastAsia="zh-CN"/>
              </w:rPr>
              <w:t xml:space="preserve">                                                      2、</w:t>
            </w:r>
            <w:r>
              <w:rPr>
                <w:rFonts w:ascii="Microsoft YaHei UI" w:hAnsi="Microsoft YaHei UI" w:eastAsia="Microsoft YaHei UI" w:cs="Microsoft YaHei UI"/>
                <w:i w:val="0"/>
                <w:caps w:val="0"/>
                <w:color w:val="353535"/>
                <w:spacing w:val="0"/>
                <w:sz w:val="21"/>
                <w:szCs w:val="21"/>
                <w:shd w:val="clear" w:color="auto" w:fill="auto"/>
              </w:rPr>
              <w:t>海绵：采用高密度阻燃海绵，反复坐压，不变形；符合物理力学性能(回弹率&gt;50%,75%压缩永久变形≤3.4%,伸长率≥200%；撕裂强度≥4N/cm；干热老化后拉伸强度≥180KPa；湿热老化后拉伸强度≥180KPa；甲醛释放量≤0.024mg/m²h,通过香烟抗引燃特性测试。</w:t>
            </w:r>
            <w:r>
              <w:rPr>
                <w:rFonts w:hint="eastAsia" w:ascii="Microsoft YaHei UI" w:hAnsi="Microsoft YaHei UI" w:eastAsia="Microsoft YaHei UI" w:cs="Microsoft YaHei UI"/>
                <w:i w:val="0"/>
                <w:caps w:val="0"/>
                <w:color w:val="353535"/>
                <w:spacing w:val="0"/>
                <w:sz w:val="21"/>
                <w:szCs w:val="21"/>
                <w:shd w:val="clear" w:color="auto" w:fill="auto"/>
                <w:lang w:val="en-US" w:eastAsia="zh-CN"/>
              </w:rPr>
              <w:t xml:space="preserve">                             3、</w:t>
            </w:r>
            <w:r>
              <w:rPr>
                <w:rFonts w:ascii="Microsoft YaHei UI" w:hAnsi="Microsoft YaHei UI" w:eastAsia="Microsoft YaHei UI" w:cs="Microsoft YaHei UI"/>
                <w:i w:val="0"/>
                <w:caps w:val="0"/>
                <w:color w:val="353535"/>
                <w:spacing w:val="0"/>
                <w:sz w:val="21"/>
                <w:szCs w:val="21"/>
                <w:shd w:val="clear" w:color="auto" w:fill="auto"/>
              </w:rPr>
              <w:t>椅架：优质橡木实木椅架，经防潮、防虫、防腐处理，强度高、刚性好，经窖干后加工成型，结构稳定不易变形）油漆：采用优质环保水性漆（底漆面漆均为水性油漆）；“五底三面 ”工艺，水性底漆&amp;水性面漆均符合 GB 18581-2020《木器涂料中有害物质限量》的标准，涂料(色漆)(VOC含量)未检出,乙二醇醚及醚酯总和含量、总铅含量、甲醛含量均未检出，苯系物总和含量【限苯、甲苯、二甲苯(含乙苯)】未检出，烷基酚聚氧乙烯醚总和含量未检出，卤代烃 (以二氯甲烷计)未检出，可溶性重金属含量（镉、铬、汞）3 项未检出。</w:t>
            </w:r>
            <w:r>
              <w:rPr>
                <w:rFonts w:hint="eastAsia" w:ascii="Microsoft YaHei UI" w:hAnsi="Microsoft YaHei UI" w:eastAsia="Microsoft YaHei UI" w:cs="Microsoft YaHei UI"/>
                <w:i w:val="0"/>
                <w:caps w:val="0"/>
                <w:color w:val="353535"/>
                <w:spacing w:val="0"/>
                <w:sz w:val="21"/>
                <w:szCs w:val="21"/>
                <w:shd w:val="clear" w:color="auto" w:fill="auto"/>
                <w:lang w:val="en-US" w:eastAsia="zh-CN"/>
              </w:rPr>
              <w:t xml:space="preserve">             </w:t>
            </w:r>
            <w:r>
              <w:rPr>
                <w:rFonts w:ascii="Microsoft YaHei UI" w:hAnsi="Microsoft YaHei UI" w:eastAsia="Microsoft YaHei UI" w:cs="Microsoft YaHei UI"/>
                <w:i w:val="0"/>
                <w:caps w:val="0"/>
                <w:color w:val="353535"/>
                <w:spacing w:val="0"/>
                <w:sz w:val="21"/>
                <w:szCs w:val="21"/>
                <w:shd w:val="clear" w:color="auto" w:fill="auto"/>
              </w:rPr>
              <w:t>颜色：胡桃色+黑色皮面</w:t>
            </w:r>
          </w:p>
        </w:tc>
        <w:tc>
          <w:tcPr>
            <w:tcW w:w="635" w:type="dxa"/>
            <w:vAlign w:val="center"/>
          </w:tcPr>
          <w:p w14:paraId="30AD5E7A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个</w:t>
            </w:r>
          </w:p>
        </w:tc>
        <w:tc>
          <w:tcPr>
            <w:tcW w:w="853" w:type="dxa"/>
            <w:vAlign w:val="center"/>
          </w:tcPr>
          <w:p w14:paraId="16FC2E7B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 w:val="15"/>
                <w:szCs w:val="15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32</w:t>
            </w:r>
          </w:p>
        </w:tc>
        <w:tc>
          <w:tcPr>
            <w:tcW w:w="883" w:type="dxa"/>
            <w:vAlign w:val="center"/>
          </w:tcPr>
          <w:p w14:paraId="5BB67FF5">
            <w:pPr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</w:p>
        </w:tc>
      </w:tr>
      <w:tr w14:paraId="57DDB9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1" w:hRule="exact"/>
        </w:trPr>
        <w:tc>
          <w:tcPr>
            <w:tcW w:w="560" w:type="dxa"/>
            <w:vAlign w:val="center"/>
          </w:tcPr>
          <w:p w14:paraId="1E21C1EA">
            <w:pPr>
              <w:snapToGrid w:val="0"/>
              <w:jc w:val="center"/>
              <w:rPr>
                <w:rFonts w:hint="eastAsia" w:eastAsiaTheme="minorEastAsia"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kern w:val="2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983" w:type="dxa"/>
            <w:vAlign w:val="center"/>
          </w:tcPr>
          <w:p w14:paraId="77246467">
            <w:pPr>
              <w:snapToGrid w:val="0"/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检查床</w:t>
            </w:r>
          </w:p>
        </w:tc>
        <w:tc>
          <w:tcPr>
            <w:tcW w:w="2289" w:type="dxa"/>
            <w:vAlign w:val="center"/>
          </w:tcPr>
          <w:p w14:paraId="2D0957CD">
            <w:pPr>
              <w:snapToGrid w:val="0"/>
              <w:jc w:val="center"/>
              <w:rPr>
                <w:sz w:val="18"/>
                <w:szCs w:val="18"/>
              </w:rPr>
            </w:pPr>
            <w:r>
              <w:drawing>
                <wp:inline distT="0" distB="0" distL="114300" distR="114300">
                  <wp:extent cx="1446530" cy="1035685"/>
                  <wp:effectExtent l="0" t="0" r="1270" b="12065"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30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vAlign w:val="center"/>
          </w:tcPr>
          <w:p w14:paraId="7596CC7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1500*600*2000</w:t>
            </w:r>
          </w:p>
        </w:tc>
        <w:tc>
          <w:tcPr>
            <w:tcW w:w="7248" w:type="dxa"/>
            <w:vAlign w:val="center"/>
          </w:tcPr>
          <w:p w14:paraId="422379E4">
            <w:pPr>
              <w:snapToGrid w:val="0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ascii="Microsoft YaHei UI" w:hAnsi="Microsoft YaHei UI" w:eastAsia="Microsoft YaHei UI" w:cs="Microsoft YaHei UI"/>
                <w:i w:val="0"/>
                <w:caps w:val="0"/>
                <w:color w:val="353535"/>
                <w:spacing w:val="0"/>
                <w:sz w:val="21"/>
                <w:szCs w:val="21"/>
                <w:shd w:val="clear" w:color="auto" w:fill="auto"/>
              </w:rPr>
              <w:t>床架采用优质品牌的优质一级冷轧钢,壁厚1.5mm，钢支架，表面经酸洗磷化，除锈、去油，喷涂等多重工艺处理，不生锈；冷轧钢板符合理化性能；硬度≥3H，附着力 ≥1 级、乙酸盐雾试验(ASS)连续喷雾≥300h，耐腐蚀等级达到 10 级（无锈迹、剥落、起皱、变色和失光等现象）；重金属：可溶性铅(Pb)、可溶性镉(Cd)、可溶性铬(Cr)、可溶性汞(Hg)均未检出、表面采用环氧树脂之混合型热固性粉沫涂料经静电喷涂，高温烘干、无漏焊虚焊现象，表面光亮平整、无颗粒、气泡、渣点现象，颜色均匀，焊接处转角过度自然；配</w:t>
            </w:r>
            <w:r>
              <w:rPr>
                <w:rFonts w:hint="eastAsia" w:ascii="Microsoft YaHei UI" w:hAnsi="Microsoft YaHei UI" w:eastAsia="Microsoft YaHei UI" w:cs="Microsoft YaHei UI"/>
                <w:i w:val="0"/>
                <w:caps w:val="0"/>
                <w:color w:val="353535"/>
                <w:spacing w:val="0"/>
                <w:sz w:val="21"/>
                <w:szCs w:val="21"/>
                <w:shd w:val="clear" w:color="auto" w:fill="auto"/>
                <w:lang w:val="en-US" w:eastAsia="zh-CN"/>
              </w:rPr>
              <w:t>6</w:t>
            </w:r>
            <w:r>
              <w:rPr>
                <w:rFonts w:ascii="Microsoft YaHei UI" w:hAnsi="Microsoft YaHei UI" w:eastAsia="Microsoft YaHei UI" w:cs="Microsoft YaHei UI"/>
                <w:i w:val="0"/>
                <w:caps w:val="0"/>
                <w:color w:val="353535"/>
                <w:spacing w:val="0"/>
                <w:sz w:val="21"/>
                <w:szCs w:val="21"/>
                <w:shd w:val="clear" w:color="auto" w:fill="auto"/>
              </w:rPr>
              <w:t>公分西皮软包垫。</w:t>
            </w:r>
          </w:p>
        </w:tc>
        <w:tc>
          <w:tcPr>
            <w:tcW w:w="635" w:type="dxa"/>
            <w:vAlign w:val="center"/>
          </w:tcPr>
          <w:p w14:paraId="01606EB1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个</w:t>
            </w:r>
          </w:p>
        </w:tc>
        <w:tc>
          <w:tcPr>
            <w:tcW w:w="853" w:type="dxa"/>
            <w:vAlign w:val="center"/>
          </w:tcPr>
          <w:p w14:paraId="4541D301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 w:val="15"/>
                <w:szCs w:val="15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135</w:t>
            </w:r>
          </w:p>
        </w:tc>
        <w:tc>
          <w:tcPr>
            <w:tcW w:w="883" w:type="dxa"/>
            <w:vAlign w:val="center"/>
          </w:tcPr>
          <w:p w14:paraId="7119BA96">
            <w:pPr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</w:p>
        </w:tc>
      </w:tr>
      <w:tr w14:paraId="1B2BA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1" w:hRule="exact"/>
        </w:trPr>
        <w:tc>
          <w:tcPr>
            <w:tcW w:w="560" w:type="dxa"/>
            <w:vAlign w:val="center"/>
          </w:tcPr>
          <w:p w14:paraId="67CCCAF1">
            <w:pPr>
              <w:snapToGrid w:val="0"/>
              <w:jc w:val="center"/>
              <w:rPr>
                <w:rFonts w:hint="default" w:eastAsiaTheme="minorEastAsia"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983" w:type="dxa"/>
            <w:vAlign w:val="center"/>
          </w:tcPr>
          <w:p w14:paraId="0C150074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会议桌</w:t>
            </w:r>
          </w:p>
        </w:tc>
        <w:tc>
          <w:tcPr>
            <w:tcW w:w="2289" w:type="dxa"/>
            <w:vAlign w:val="center"/>
          </w:tcPr>
          <w:p w14:paraId="5F189F68">
            <w:pPr>
              <w:snapToGrid w:val="0"/>
              <w:jc w:val="center"/>
              <w:rPr>
                <w:sz w:val="18"/>
                <w:szCs w:val="18"/>
              </w:rPr>
            </w:pPr>
            <w:r>
              <w:drawing>
                <wp:inline distT="0" distB="0" distL="114300" distR="114300">
                  <wp:extent cx="1446530" cy="674370"/>
                  <wp:effectExtent l="0" t="0" r="1270" b="11430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30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vAlign w:val="center"/>
          </w:tcPr>
          <w:p w14:paraId="65C4CCD1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5</w:t>
            </w:r>
            <w:r>
              <w:rPr>
                <w:sz w:val="18"/>
                <w:szCs w:val="18"/>
              </w:rPr>
              <w:t>200*1400*750</w:t>
            </w:r>
          </w:p>
          <w:p w14:paraId="5192A139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尺寸可能要根据现场实际情况来</w:t>
            </w:r>
          </w:p>
          <w:p w14:paraId="0BBA4556">
            <w:pPr>
              <w:snapToGrid w:val="0"/>
              <w:jc w:val="center"/>
              <w:rPr>
                <w:sz w:val="18"/>
                <w:szCs w:val="18"/>
              </w:rPr>
            </w:pPr>
          </w:p>
          <w:p w14:paraId="30231387">
            <w:pPr>
              <w:snapToGrid w:val="0"/>
              <w:jc w:val="center"/>
              <w:rPr>
                <w:sz w:val="18"/>
                <w:szCs w:val="18"/>
              </w:rPr>
            </w:pPr>
          </w:p>
          <w:p w14:paraId="119C07E4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7248" w:type="dxa"/>
            <w:vAlign w:val="center"/>
          </w:tcPr>
          <w:p w14:paraId="1393AE06">
            <w:pPr>
              <w:snapToGrid w:val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1、基材为实木多层板：依据GB/T 9846-2015《普通胶合板》GB18580-2017《室内装饰装修材料人造板及其制品甲醛释放限量，GB/T35601-2017《绿色产品评价 人造板和木质地板-》；GB/T 17657-2013《人造板及饰面人造板理化性能试验方法》；JC/T 2039-2010《抗菌防霉木质装饰板》；GB/T 39600-2021《人造板及其制品甲醛释放量分级》；含水率≤8.7%，内胶合强度≥0.55Mpa；甲醛释放限量≤0.026 mg/m³，挥发性有机化物(72h)中苯、甲苯未检出，二甲苯≤14，总挥发性有机化合物（TVOC）≤52；</w:t>
            </w:r>
          </w:p>
          <w:p w14:paraId="3EF1E7BF">
            <w:pPr>
              <w:snapToGrid w:val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2、▲PVC封边条:依据QB/T4463-2013《家具用封边条技术要求》；封边条有害物质限量，铅≤13mg/kg，镉＜5mg/kg，铬＜5mg/kg，汞＜5mg/kg；</w:t>
            </w:r>
          </w:p>
          <w:p w14:paraId="400827A9">
            <w:pPr>
              <w:snapToGrid w:val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3、胶粘剂：依据GB 18583-2008《室内装饰装修材料 胶粘剂中有害物质限量》标准，游离甲醛≤0.02g/kg，苯、甲苯+二甲苯未检出；</w:t>
            </w:r>
          </w:p>
        </w:tc>
        <w:tc>
          <w:tcPr>
            <w:tcW w:w="635" w:type="dxa"/>
            <w:vAlign w:val="center"/>
          </w:tcPr>
          <w:p w14:paraId="1C7E100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张</w:t>
            </w:r>
          </w:p>
          <w:p w14:paraId="6AE5848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vAlign w:val="center"/>
          </w:tcPr>
          <w:p w14:paraId="38FDFEE4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32</w:t>
            </w:r>
          </w:p>
        </w:tc>
        <w:tc>
          <w:tcPr>
            <w:tcW w:w="883" w:type="dxa"/>
            <w:vAlign w:val="center"/>
          </w:tcPr>
          <w:p w14:paraId="02964E14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现场定制</w:t>
            </w:r>
          </w:p>
        </w:tc>
      </w:tr>
      <w:tr w14:paraId="03B75D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1" w:hRule="exact"/>
        </w:trPr>
        <w:tc>
          <w:tcPr>
            <w:tcW w:w="560" w:type="dxa"/>
            <w:vAlign w:val="center"/>
          </w:tcPr>
          <w:p w14:paraId="74374165">
            <w:pPr>
              <w:snapToGrid w:val="0"/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983" w:type="dxa"/>
            <w:vAlign w:val="center"/>
          </w:tcPr>
          <w:p w14:paraId="71EBC4A5">
            <w:pPr>
              <w:snapToGrid w:val="0"/>
              <w:jc w:val="center"/>
              <w:rPr>
                <w:rFonts w:hint="eastAsia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会议椅</w:t>
            </w:r>
          </w:p>
        </w:tc>
        <w:tc>
          <w:tcPr>
            <w:tcW w:w="2289" w:type="dxa"/>
            <w:vAlign w:val="center"/>
          </w:tcPr>
          <w:p w14:paraId="1415A56D">
            <w:pPr>
              <w:snapToGrid w:val="0"/>
              <w:jc w:val="center"/>
            </w:pPr>
            <w:r>
              <w:drawing>
                <wp:inline distT="0" distB="0" distL="114300" distR="114300">
                  <wp:extent cx="855980" cy="1315720"/>
                  <wp:effectExtent l="0" t="0" r="1270" b="17780"/>
                  <wp:docPr id="2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131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vAlign w:val="center"/>
          </w:tcPr>
          <w:p w14:paraId="387A13D5">
            <w:pPr>
              <w:snapToGrid w:val="0"/>
              <w:ind w:firstLine="180" w:firstLineChars="100"/>
              <w:rPr>
                <w:rFonts w:hint="eastAsia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600*620*1000</w:t>
            </w:r>
          </w:p>
        </w:tc>
        <w:tc>
          <w:tcPr>
            <w:tcW w:w="7248" w:type="dxa"/>
            <w:vAlign w:val="center"/>
          </w:tcPr>
          <w:p w14:paraId="7956CAD3">
            <w:pPr>
              <w:snapToGrid w:val="0"/>
              <w:jc w:val="left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1、网布布料：采用优质网布；覆面材料理化性能：各种面料颜色干摩擦色牢度不应小于4级。                                      2、海绵：采用高密度阻燃海绵，反复坐压，不变形；符合物理力学性能(回弹率≥50%,75%压缩永久变形≤3.4%,伸长率≥200%；撕裂强度≥4N/cm；干热老化后拉伸强度≥180KPa；湿热老化后拉伸强度≥180KPa；甲醛释放量≤0.024mg/m²h,通过香烟抗引燃特性测试。                                                                       3、脚架：钢制电镀脚架，壁厚大于 2mm。</w:t>
            </w:r>
          </w:p>
        </w:tc>
        <w:tc>
          <w:tcPr>
            <w:tcW w:w="635" w:type="dxa"/>
            <w:vAlign w:val="center"/>
          </w:tcPr>
          <w:p w14:paraId="4BF16F9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  <w:t>把</w:t>
            </w:r>
          </w:p>
        </w:tc>
        <w:tc>
          <w:tcPr>
            <w:tcW w:w="853" w:type="dxa"/>
            <w:vAlign w:val="center"/>
          </w:tcPr>
          <w:p w14:paraId="47F99CEE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300</w:t>
            </w:r>
          </w:p>
        </w:tc>
        <w:tc>
          <w:tcPr>
            <w:tcW w:w="883" w:type="dxa"/>
            <w:vAlign w:val="center"/>
          </w:tcPr>
          <w:p w14:paraId="14A17CF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 w14:paraId="1C0E47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9" w:hRule="exact"/>
        </w:trPr>
        <w:tc>
          <w:tcPr>
            <w:tcW w:w="560" w:type="dxa"/>
            <w:vAlign w:val="center"/>
          </w:tcPr>
          <w:p w14:paraId="494833F9">
            <w:pPr>
              <w:snapToGrid w:val="0"/>
              <w:jc w:val="center"/>
              <w:rPr>
                <w:rFonts w:hint="default" w:eastAsiaTheme="minorEastAsia"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983" w:type="dxa"/>
            <w:vAlign w:val="center"/>
          </w:tcPr>
          <w:p w14:paraId="366E359F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沙发</w:t>
            </w:r>
          </w:p>
        </w:tc>
        <w:tc>
          <w:tcPr>
            <w:tcW w:w="2289" w:type="dxa"/>
            <w:vAlign w:val="center"/>
          </w:tcPr>
          <w:p w14:paraId="48478AE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1105535" cy="1107440"/>
                  <wp:effectExtent l="0" t="0" r="18415" b="16510"/>
                  <wp:docPr id="188" name="Picture 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 125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46" b="7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110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vAlign w:val="center"/>
          </w:tcPr>
          <w:p w14:paraId="498614EA">
            <w:pPr>
              <w:snapToGrid w:val="0"/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</w:rPr>
              <w:t>单人</w:t>
            </w:r>
            <w:r>
              <w:rPr>
                <w:rFonts w:hint="eastAsia"/>
                <w:sz w:val="18"/>
                <w:szCs w:val="18"/>
                <w:lang w:eastAsia="zh-CN"/>
              </w:rPr>
              <w:t>，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三人</w:t>
            </w:r>
          </w:p>
        </w:tc>
        <w:tc>
          <w:tcPr>
            <w:tcW w:w="7248" w:type="dxa"/>
            <w:vAlign w:val="center"/>
          </w:tcPr>
          <w:p w14:paraId="397F7552">
            <w:pPr>
              <w:snapToGrid w:val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1、面料采用PU皮：依据符合GB/T 1952.1-2012《软体家具  沙发》的标准；覆面材料理化性 能：不应小于4级。                                                                     2、原生海绵：依据QB/T 1952.2-2011 《软体家具  弹簧软床垫》标准和QB/T 1952.1-2012《软 体家具 沙发》的标准；产品用料、加工：泡沫塑料：①座面表观密度＞52kg/m³；②回弹性能 （除慢回弹泡沫塑料外）≥55%。铺垫料物理性能：软质聚氨酯泡沫塑料：其他拉伸强度≥ 117KPa；                                                                              3、优质钢制脚</w:t>
            </w:r>
          </w:p>
        </w:tc>
        <w:tc>
          <w:tcPr>
            <w:tcW w:w="635" w:type="dxa"/>
            <w:vAlign w:val="center"/>
          </w:tcPr>
          <w:p w14:paraId="7885FDAA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张</w:t>
            </w:r>
          </w:p>
        </w:tc>
        <w:tc>
          <w:tcPr>
            <w:tcW w:w="853" w:type="dxa"/>
            <w:vAlign w:val="center"/>
          </w:tcPr>
          <w:p w14:paraId="136DA76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16"/>
                <w:szCs w:val="16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套</w:t>
            </w:r>
          </w:p>
        </w:tc>
        <w:tc>
          <w:tcPr>
            <w:tcW w:w="883" w:type="dxa"/>
            <w:vAlign w:val="center"/>
          </w:tcPr>
          <w:p w14:paraId="7EBCB0C6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6"/>
                <w:szCs w:val="16"/>
              </w:rPr>
            </w:pPr>
          </w:p>
        </w:tc>
      </w:tr>
      <w:tr w14:paraId="04D91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2" w:hRule="exact"/>
        </w:trPr>
        <w:tc>
          <w:tcPr>
            <w:tcW w:w="560" w:type="dxa"/>
            <w:vAlign w:val="center"/>
          </w:tcPr>
          <w:p w14:paraId="4E545963">
            <w:pPr>
              <w:snapToGrid w:val="0"/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13</w:t>
            </w:r>
          </w:p>
        </w:tc>
        <w:tc>
          <w:tcPr>
            <w:tcW w:w="983" w:type="dxa"/>
            <w:vAlign w:val="center"/>
          </w:tcPr>
          <w:p w14:paraId="09D0F392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单人床</w:t>
            </w:r>
          </w:p>
        </w:tc>
        <w:tc>
          <w:tcPr>
            <w:tcW w:w="2289" w:type="dxa"/>
            <w:vAlign w:val="center"/>
          </w:tcPr>
          <w:p w14:paraId="318AF14C">
            <w:pPr>
              <w:snapToGrid w:val="0"/>
              <w:jc w:val="center"/>
              <w:rPr>
                <w:sz w:val="18"/>
                <w:szCs w:val="18"/>
              </w:rPr>
            </w:pPr>
            <w:r>
              <w:drawing>
                <wp:inline distT="0" distB="0" distL="114300" distR="114300">
                  <wp:extent cx="1257935" cy="993140"/>
                  <wp:effectExtent l="0" t="0" r="18415" b="1651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935" cy="99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vAlign w:val="center"/>
          </w:tcPr>
          <w:p w14:paraId="1542F9B3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1200*2120*950</w:t>
            </w:r>
          </w:p>
        </w:tc>
        <w:tc>
          <w:tcPr>
            <w:tcW w:w="7248" w:type="dxa"/>
            <w:vAlign w:val="center"/>
          </w:tcPr>
          <w:p w14:paraId="3E59F8CC">
            <w:pPr>
              <w:snapToGrid w:val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1、床架：采用优质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橡胶</w:t>
            </w:r>
            <w:r>
              <w:rPr>
                <w:rFonts w:hint="eastAsia"/>
                <w:sz w:val="18"/>
                <w:szCs w:val="18"/>
              </w:rPr>
              <w:t>木，实木烘干含水率小于8%。                                                                                                                               2、表面▲环保油漆：依据GB18581-2020《木器涂料中有害物质限量》的标准，涂料（色漆）（VOC含量）＜200g/L，甲醛含量≤0.3mg/kg,苯系物总和含量【限苯、甲苯、二甲苯（含乙苯）】＜100mg/kg，多环芳总和含量（限萘、蒽）未检出；</w:t>
            </w:r>
          </w:p>
          <w:p w14:paraId="2DE53DCF">
            <w:pPr>
              <w:snapToGrid w:val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3、工艺：所有木材均经过防虫、防腐、耐高温、高盐碱等特殊处理，结构采用传统入隼结构，牢固耐用；</w:t>
            </w:r>
          </w:p>
          <w:p w14:paraId="2F0E384D">
            <w:pPr>
              <w:snapToGrid w:val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4、床板：</w:t>
            </w:r>
            <w:bookmarkStart w:id="0" w:name="OLE_LINK2"/>
            <w:r>
              <w:rPr>
                <w:rFonts w:hint="eastAsia"/>
                <w:sz w:val="18"/>
                <w:szCs w:val="18"/>
              </w:rPr>
              <w:t>采用优质天然实木床板</w:t>
            </w:r>
            <w:r>
              <w:rPr>
                <w:rFonts w:hint="eastAsia"/>
                <w:sz w:val="18"/>
                <w:szCs w:val="18"/>
                <w:lang w:eastAsia="zh-CN"/>
              </w:rPr>
              <w:t>，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厚度</w:t>
            </w:r>
            <w:r>
              <w:rPr>
                <w:rFonts w:hint="eastAsia"/>
                <w:sz w:val="18"/>
                <w:szCs w:val="18"/>
              </w:rPr>
              <w:t>≥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15mm</w:t>
            </w:r>
            <w:bookmarkEnd w:id="0"/>
            <w:r>
              <w:rPr>
                <w:rFonts w:hint="eastAsia"/>
                <w:sz w:val="18"/>
                <w:szCs w:val="18"/>
              </w:rPr>
              <w:t>；</w:t>
            </w:r>
          </w:p>
          <w:p w14:paraId="453614C3">
            <w:pPr>
              <w:snapToGrid w:val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5、床垫：采用优质天然椰棕，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厚度</w:t>
            </w:r>
            <w:r>
              <w:rPr>
                <w:rFonts w:hint="eastAsia"/>
                <w:sz w:val="18"/>
                <w:szCs w:val="18"/>
              </w:rPr>
              <w:t>≥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10公分；</w:t>
            </w:r>
            <w:r>
              <w:rPr>
                <w:rFonts w:hint="eastAsia"/>
                <w:sz w:val="18"/>
                <w:szCs w:val="18"/>
              </w:rPr>
              <w:t>多层压制成型，扪棉布。</w:t>
            </w:r>
          </w:p>
        </w:tc>
        <w:tc>
          <w:tcPr>
            <w:tcW w:w="635" w:type="dxa"/>
            <w:vAlign w:val="center"/>
          </w:tcPr>
          <w:p w14:paraId="1480C86B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张</w:t>
            </w:r>
          </w:p>
        </w:tc>
        <w:tc>
          <w:tcPr>
            <w:tcW w:w="853" w:type="dxa"/>
            <w:vAlign w:val="center"/>
          </w:tcPr>
          <w:p w14:paraId="73CF6C97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 w:val="16"/>
                <w:szCs w:val="16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150</w:t>
            </w:r>
          </w:p>
        </w:tc>
        <w:tc>
          <w:tcPr>
            <w:tcW w:w="883" w:type="dxa"/>
            <w:vAlign w:val="center"/>
          </w:tcPr>
          <w:p w14:paraId="0B50AF37">
            <w:pPr>
              <w:jc w:val="center"/>
              <w:rPr>
                <w:rFonts w:ascii="宋体" w:hAnsi="宋体" w:eastAsia="宋体" w:cs="宋体"/>
                <w:sz w:val="16"/>
                <w:szCs w:val="16"/>
              </w:rPr>
            </w:pPr>
          </w:p>
        </w:tc>
      </w:tr>
      <w:tr w14:paraId="7C3840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8" w:hRule="exact"/>
        </w:trPr>
        <w:tc>
          <w:tcPr>
            <w:tcW w:w="560" w:type="dxa"/>
            <w:vAlign w:val="center"/>
          </w:tcPr>
          <w:p w14:paraId="60B3D768">
            <w:pPr>
              <w:snapToGrid w:val="0"/>
              <w:jc w:val="center"/>
              <w:rPr>
                <w:rFonts w:hint="default" w:eastAsiaTheme="minorEastAsia"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14</w:t>
            </w:r>
          </w:p>
        </w:tc>
        <w:tc>
          <w:tcPr>
            <w:tcW w:w="983" w:type="dxa"/>
            <w:vAlign w:val="center"/>
          </w:tcPr>
          <w:p w14:paraId="2B69018A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上下铺</w:t>
            </w:r>
          </w:p>
        </w:tc>
        <w:tc>
          <w:tcPr>
            <w:tcW w:w="2289" w:type="dxa"/>
            <w:vAlign w:val="center"/>
          </w:tcPr>
          <w:p w14:paraId="00E4D8F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1072515" cy="1270000"/>
                  <wp:effectExtent l="0" t="0" r="13335" b="6350"/>
                  <wp:docPr id="201" name="Picture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113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127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vAlign w:val="center"/>
          </w:tcPr>
          <w:p w14:paraId="5A57467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2000*980*1800</w:t>
            </w:r>
          </w:p>
          <w:p w14:paraId="62FDBB3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248" w:type="dxa"/>
            <w:vAlign w:val="center"/>
          </w:tcPr>
          <w:p w14:paraId="1327986E">
            <w:pPr>
              <w:snapToGrid w:val="0"/>
              <w:jc w:val="left"/>
              <w:rPr>
                <w:b/>
                <w:bCs/>
                <w:color w:val="FF0000"/>
                <w:sz w:val="18"/>
                <w:szCs w:val="18"/>
              </w:rPr>
            </w:pPr>
          </w:p>
          <w:p w14:paraId="60B0627B">
            <w:pPr>
              <w:snapToGrid w:val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、床架：采用优质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橡胶木</w:t>
            </w:r>
            <w:r>
              <w:rPr>
                <w:rFonts w:hint="eastAsia"/>
                <w:sz w:val="18"/>
                <w:szCs w:val="18"/>
              </w:rPr>
              <w:t>，实木烘干含水率小于8%。                                                                                                                               2、表面▲环保油漆：依据GB18581-2020《木器涂料中有害物质限量》的标准，涂料（色漆）（VOC含量）＜200g/L，甲醛含量≤0.3mg/kg,苯系物总和含量【限苯、甲苯、二甲苯（含乙苯）】＜100mg/kg，多环芳总和含量（限萘、蒽）未检出；</w:t>
            </w:r>
          </w:p>
          <w:p w14:paraId="4DB550A5">
            <w:pPr>
              <w:snapToGrid w:val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3、工艺：所有木材</w:t>
            </w:r>
            <w:bookmarkStart w:id="2" w:name="_GoBack"/>
            <w:bookmarkEnd w:id="2"/>
            <w:r>
              <w:rPr>
                <w:rFonts w:hint="eastAsia"/>
                <w:sz w:val="18"/>
                <w:szCs w:val="18"/>
              </w:rPr>
              <w:t>均经过防虫、防腐、耐高温、高盐碱等特殊处理，结构采用传统入隼结构，牢固耐用；</w:t>
            </w:r>
          </w:p>
          <w:p w14:paraId="35D79C95">
            <w:pPr>
              <w:snapToGrid w:val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4、床板：采用优质天然实木床板</w:t>
            </w:r>
            <w:r>
              <w:rPr>
                <w:rFonts w:hint="eastAsia"/>
                <w:sz w:val="18"/>
                <w:szCs w:val="18"/>
                <w:lang w:eastAsia="zh-CN"/>
              </w:rPr>
              <w:t>，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厚度</w:t>
            </w:r>
            <w:r>
              <w:rPr>
                <w:rFonts w:hint="eastAsia"/>
                <w:sz w:val="18"/>
                <w:szCs w:val="18"/>
              </w:rPr>
              <w:t>≥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15mm</w:t>
            </w:r>
            <w:r>
              <w:rPr>
                <w:rFonts w:hint="eastAsia"/>
                <w:sz w:val="18"/>
                <w:szCs w:val="18"/>
              </w:rPr>
              <w:t>；</w:t>
            </w:r>
          </w:p>
          <w:p w14:paraId="534230A3">
            <w:pPr>
              <w:snapToGrid w:val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5、床垫：采用优质天然椰棕，多层压制成型，扪棉布。</w:t>
            </w:r>
          </w:p>
        </w:tc>
        <w:tc>
          <w:tcPr>
            <w:tcW w:w="635" w:type="dxa"/>
            <w:vAlign w:val="center"/>
          </w:tcPr>
          <w:p w14:paraId="394BFD0A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张</w:t>
            </w:r>
          </w:p>
        </w:tc>
        <w:tc>
          <w:tcPr>
            <w:tcW w:w="853" w:type="dxa"/>
            <w:vAlign w:val="center"/>
          </w:tcPr>
          <w:p w14:paraId="3CDF291E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67</w:t>
            </w:r>
          </w:p>
        </w:tc>
        <w:tc>
          <w:tcPr>
            <w:tcW w:w="883" w:type="dxa"/>
            <w:vAlign w:val="center"/>
          </w:tcPr>
          <w:p w14:paraId="510D81CB">
            <w:pPr>
              <w:jc w:val="center"/>
              <w:rPr>
                <w:rFonts w:ascii="宋体" w:hAnsi="宋体" w:eastAsia="宋体" w:cs="宋体"/>
                <w:sz w:val="16"/>
                <w:szCs w:val="16"/>
              </w:rPr>
            </w:pPr>
          </w:p>
        </w:tc>
      </w:tr>
      <w:tr w14:paraId="6590A5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9" w:hRule="exact"/>
        </w:trPr>
        <w:tc>
          <w:tcPr>
            <w:tcW w:w="560" w:type="dxa"/>
            <w:vAlign w:val="center"/>
          </w:tcPr>
          <w:p w14:paraId="15400BCE">
            <w:pPr>
              <w:snapToGrid w:val="0"/>
              <w:jc w:val="center"/>
              <w:rPr>
                <w:rFonts w:hint="default" w:eastAsiaTheme="minorEastAsia"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kern w:val="2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983" w:type="dxa"/>
            <w:vAlign w:val="center"/>
          </w:tcPr>
          <w:p w14:paraId="11E5DDC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鞋柜</w:t>
            </w:r>
          </w:p>
        </w:tc>
        <w:tc>
          <w:tcPr>
            <w:tcW w:w="2289" w:type="dxa"/>
            <w:vAlign w:val="center"/>
          </w:tcPr>
          <w:p w14:paraId="0A0456C7">
            <w:pPr>
              <w:snapToGrid w:val="0"/>
              <w:jc w:val="center"/>
              <w:rPr>
                <w:sz w:val="18"/>
                <w:szCs w:val="18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1109345</wp:posOffset>
                  </wp:positionV>
                  <wp:extent cx="1260475" cy="952500"/>
                  <wp:effectExtent l="0" t="0" r="15875" b="0"/>
                  <wp:wrapNone/>
                  <wp:docPr id="3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39" w:type="dxa"/>
            <w:vAlign w:val="center"/>
          </w:tcPr>
          <w:p w14:paraId="49C1FF09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</w:t>
            </w:r>
            <w:r>
              <w:rPr>
                <w:sz w:val="18"/>
                <w:szCs w:val="18"/>
              </w:rPr>
              <w:t>00*</w:t>
            </w:r>
            <w:r>
              <w:rPr>
                <w:rFonts w:hint="eastAsia"/>
                <w:sz w:val="18"/>
                <w:szCs w:val="18"/>
              </w:rPr>
              <w:t>40</w:t>
            </w:r>
            <w:r>
              <w:rPr>
                <w:sz w:val="18"/>
                <w:szCs w:val="18"/>
              </w:rPr>
              <w:t>0*1000</w:t>
            </w:r>
          </w:p>
          <w:p w14:paraId="6C247F6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248" w:type="dxa"/>
            <w:vAlign w:val="center"/>
          </w:tcPr>
          <w:p w14:paraId="227E435B">
            <w:pPr>
              <w:snapToGrid w:val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1、基材为实木多层板：依据GB/T 9846-2015《普通胶合板》GB18580-2017《室内装饰装修材料人造板及其制品甲醛释放限量，GB/T35601-2017《绿色产品评价 人造板和木质地板-》；GB/T 17657-2013《人造板及饰面人造板理化性能试验方法》；JC/T 2039-2010《抗菌防霉木质装饰板》；GB/T 39600-2021《人造板及其制品甲醛释放量分级》；含水率≤8.7%，内胶合强度≥0.55Mpa；甲醛释放限量≤0.026 mg/m³，挥发性有机化物(72h)中苯、甲苯未检出，二甲苯≤14，总挥发性有机化合物（TVOC）≤52；</w:t>
            </w:r>
          </w:p>
          <w:p w14:paraId="42A46564">
            <w:pPr>
              <w:snapToGrid w:val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2、PVC封边条:依据QB/T4463-2013《家具用封边条技术要求》；封边条有害物质限量，铅≤13mg/kg，镉＜5mg/kg，铬＜5mg/kg，汞＜5mg/kg；</w:t>
            </w:r>
          </w:p>
          <w:p w14:paraId="066635DC">
            <w:pPr>
              <w:snapToGrid w:val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3、胶粘剂：依据GB 18583-2008《室内装饰装修材料 胶粘剂中有害物质限量》标准，游离甲醛≤0.02g/kg，苯、甲苯+二甲苯未检出；</w:t>
            </w:r>
          </w:p>
          <w:p w14:paraId="7AAEFEFC">
            <w:pPr>
              <w:snapToGrid w:val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4、不锈钢铰链：依据QB/T2189-2013 《家具五金杯状暗铰链》、GB/T 10125-2012 《人造气氛腐蚀试验盐雾试验》；耐久性，15万次耐久性后合格，经240h乙酸盐雾试验(AASS试验)后，基体金属1dm²内锈点个数为0,耐腐蚀等级为10级；</w:t>
            </w:r>
          </w:p>
          <w:p w14:paraId="2147863C">
            <w:pPr>
              <w:snapToGrid w:val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5、三合一连接件：依据QB/T3827-1999《轻工产品金属镀层和化学处理层的耐腐蚀试验方法 乙酸盐雾试验（ASS)法》、QB/T3832-1999《轻工产品金属镀层腐蚀试验结果的评价》；金属表面耐腐蚀，乙酸盐雾连续喷雾120H后镀层本身的耐腐蚀等级达到10级，镀层对基体的保护等级达到10级；</w:t>
            </w:r>
          </w:p>
          <w:p w14:paraId="6642042A">
            <w:pPr>
              <w:snapToGrid w:val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6、锁具：依据QB/T 1621-2015《家具锁》、QB/T 3826-1999《轻工产品金属镀层和化学处理层的耐腐蚀试验方法 中性盐雾试验（NSS)法》、QB/T3832-1999《轻工产品金属镀层腐蚀试验结果的评价》，牢固度中弹子锁、叶片锁使用寿命10000次，满足要求；灵活度中钥匙开启扭矩不大于0.34N*m；中性盐雾试验(NSS）连续喷雾310h，镀(涂)层对基体的保护等级≥9级，镀(涂)层本身耐腐蚀等级≥9级；</w:t>
            </w:r>
          </w:p>
        </w:tc>
        <w:tc>
          <w:tcPr>
            <w:tcW w:w="635" w:type="dxa"/>
            <w:vAlign w:val="center"/>
          </w:tcPr>
          <w:p w14:paraId="0A69589B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个</w:t>
            </w:r>
          </w:p>
        </w:tc>
        <w:tc>
          <w:tcPr>
            <w:tcW w:w="853" w:type="dxa"/>
            <w:vAlign w:val="center"/>
          </w:tcPr>
          <w:p w14:paraId="1B017112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42</w:t>
            </w:r>
          </w:p>
        </w:tc>
        <w:tc>
          <w:tcPr>
            <w:tcW w:w="883" w:type="dxa"/>
            <w:vAlign w:val="center"/>
          </w:tcPr>
          <w:p w14:paraId="3E32CADA">
            <w:pPr>
              <w:jc w:val="center"/>
              <w:rPr>
                <w:rFonts w:hint="default" w:ascii="宋体" w:hAnsi="宋体" w:eastAsia="宋体" w:cs="宋体"/>
                <w:sz w:val="16"/>
                <w:szCs w:val="16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6"/>
                <w:szCs w:val="16"/>
                <w:lang w:val="en-US" w:eastAsia="zh-CN"/>
              </w:rPr>
              <w:t>ICU,手术室，供应室，血透中心</w:t>
            </w:r>
          </w:p>
        </w:tc>
      </w:tr>
      <w:tr w14:paraId="5903C3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6" w:hRule="exact"/>
        </w:trPr>
        <w:tc>
          <w:tcPr>
            <w:tcW w:w="560" w:type="dxa"/>
            <w:vAlign w:val="center"/>
          </w:tcPr>
          <w:p w14:paraId="6AE24704">
            <w:pPr>
              <w:snapToGrid w:val="0"/>
              <w:jc w:val="center"/>
              <w:rPr>
                <w:rFonts w:hint="default" w:eastAsiaTheme="minorEastAsia"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16</w:t>
            </w:r>
          </w:p>
        </w:tc>
        <w:tc>
          <w:tcPr>
            <w:tcW w:w="983" w:type="dxa"/>
            <w:vAlign w:val="center"/>
          </w:tcPr>
          <w:p w14:paraId="4EB83116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候诊椅</w:t>
            </w:r>
          </w:p>
        </w:tc>
        <w:tc>
          <w:tcPr>
            <w:tcW w:w="2289" w:type="dxa"/>
            <w:vAlign w:val="center"/>
          </w:tcPr>
          <w:p w14:paraId="60AD85EA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1448435" cy="1316355"/>
                  <wp:effectExtent l="0" t="0" r="18415" b="1714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13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vAlign w:val="center"/>
          </w:tcPr>
          <w:p w14:paraId="4B00B383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聚酯乙烯</w:t>
            </w:r>
          </w:p>
          <w:p w14:paraId="1965577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248" w:type="dxa"/>
          </w:tcPr>
          <w:p w14:paraId="57752C9E">
            <w:pPr>
              <w:snapToGrid w:val="0"/>
              <w:rPr>
                <w:sz w:val="18"/>
                <w:szCs w:val="18"/>
              </w:rPr>
            </w:pPr>
          </w:p>
          <w:p w14:paraId="19DEBDA0">
            <w:pPr>
              <w:snapToGrid w:val="0"/>
              <w:rPr>
                <w:sz w:val="18"/>
                <w:szCs w:val="18"/>
              </w:rPr>
            </w:pPr>
          </w:p>
          <w:p w14:paraId="34B2CEAD">
            <w:pPr>
              <w:snapToGrid w:val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1、椅面采用聚氨酯材料：依据参照GB 28481-2012《塑料家具中有害物质限量》，重金属可溶性铅、可溶性锅、可溶性铬、可溶性汞未检出，多环芳烃苯并[a]芘、16种多环芳烃(PAH)总量未检出；</w:t>
            </w:r>
          </w:p>
          <w:p w14:paraId="689C0FE0">
            <w:pPr>
              <w:snapToGrid w:val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2、一级冷轧钢板：依据QB/T 3827-1999《轻工产品金属镀层和化学处理层的耐腐蚀试验方法 乙酸盐雾试验(ASS)法》；QB/T 3832-1999《轻工产品金属镀层腐蚀试验结果的评价》；18h 乙酸盐雾试验(ASS试验)，涂层本身的耐腐蚀等级:10级；涂层对基体的保护等级:10级。备注：金属表面耐腐蚀等级:10级最好，0级最差。</w:t>
            </w:r>
          </w:p>
          <w:p w14:paraId="4BDA514F">
            <w:pPr>
              <w:snapToGrid w:val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、钢管：依据GB/T3325-2017《金属家具通用技术条件》；金属喷漆(塑)涂层理化性能：硬度≥2H；附着力为1级；耐腐蚀性表现为：1；100h内，观察在溶液中样板上划道两侧3mm以外，应无鼓泡产生，符合要求；2；100h后，检查划道两侧3mm以外，应无锈迹、剥落、起皱、变色和失光等现象 ，符合要求；</w:t>
            </w:r>
          </w:p>
        </w:tc>
        <w:tc>
          <w:tcPr>
            <w:tcW w:w="635" w:type="dxa"/>
            <w:vAlign w:val="center"/>
          </w:tcPr>
          <w:p w14:paraId="2AAC5C10"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把</w:t>
            </w:r>
          </w:p>
        </w:tc>
        <w:tc>
          <w:tcPr>
            <w:tcW w:w="853" w:type="dxa"/>
            <w:vAlign w:val="center"/>
          </w:tcPr>
          <w:p w14:paraId="7F39224E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 w:val="16"/>
                <w:szCs w:val="16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400</w:t>
            </w:r>
          </w:p>
        </w:tc>
        <w:tc>
          <w:tcPr>
            <w:tcW w:w="883" w:type="dxa"/>
            <w:vAlign w:val="center"/>
          </w:tcPr>
          <w:p w14:paraId="2B9DDECF">
            <w:pPr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三人位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或2人位</w:t>
            </w:r>
          </w:p>
          <w:p w14:paraId="380DB1CB">
            <w:pPr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（视现场情况而定）</w:t>
            </w:r>
          </w:p>
        </w:tc>
      </w:tr>
      <w:tr w14:paraId="290E03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7" w:hRule="exact"/>
        </w:trPr>
        <w:tc>
          <w:tcPr>
            <w:tcW w:w="560" w:type="dxa"/>
            <w:vAlign w:val="center"/>
          </w:tcPr>
          <w:p w14:paraId="246FC43E">
            <w:pPr>
              <w:snapToGrid w:val="0"/>
              <w:jc w:val="center"/>
              <w:rPr>
                <w:rFonts w:hint="default" w:eastAsiaTheme="minorEastAsia"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kern w:val="2"/>
                <w:sz w:val="18"/>
                <w:szCs w:val="18"/>
                <w:lang w:val="en-US" w:eastAsia="zh-CN"/>
              </w:rPr>
              <w:t>17</w:t>
            </w:r>
          </w:p>
        </w:tc>
        <w:tc>
          <w:tcPr>
            <w:tcW w:w="983" w:type="dxa"/>
            <w:vAlign w:val="center"/>
          </w:tcPr>
          <w:p w14:paraId="68C1F0B8">
            <w:pPr>
              <w:snapToGrid w:val="0"/>
              <w:jc w:val="center"/>
            </w:pPr>
            <w:r>
              <w:rPr>
                <w:rFonts w:hint="eastAsia"/>
              </w:rPr>
              <w:t>衣柜</w:t>
            </w:r>
          </w:p>
        </w:tc>
        <w:tc>
          <w:tcPr>
            <w:tcW w:w="2289" w:type="dxa"/>
            <w:vAlign w:val="center"/>
          </w:tcPr>
          <w:p w14:paraId="67EB7BD4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drawing>
                <wp:inline distT="0" distB="0" distL="114300" distR="114300">
                  <wp:extent cx="1000125" cy="2149475"/>
                  <wp:effectExtent l="0" t="0" r="9525" b="3175"/>
                  <wp:docPr id="12" name="图片 19" descr="e981a9e4468beae2ff39f92a2e33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9" descr="e981a9e4468beae2ff39f92a2e3310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214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vAlign w:val="center"/>
          </w:tcPr>
          <w:p w14:paraId="6F6C3D6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900*450*1800</w:t>
            </w:r>
          </w:p>
        </w:tc>
        <w:tc>
          <w:tcPr>
            <w:tcW w:w="7248" w:type="dxa"/>
            <w:vAlign w:val="center"/>
          </w:tcPr>
          <w:p w14:paraId="04AE877D">
            <w:pPr>
              <w:snapToGrid w:val="0"/>
              <w:jc w:val="left"/>
              <w:rPr>
                <w:rFonts w:hint="default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1、▲冷轧钢板：一级冷轧钢板：依据QB/T 3827-1999《轻工产品金属镀层和化学处理层的耐腐蚀试验方法 乙酸盐雾试验(ASS)法》；QB/T 3832-1999《轻工产品金属镀层腐蚀试验结果的评价》；18h 乙酸盐雾试验(ASS试验)，涂层本身的耐腐蚀等级:10级；涂层对基体的保护等级:10级。备注：金属表面耐腐蚀等级:10级最好，0级最差。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  <w:t>厚度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≥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  <w:t>0.8mm</w:t>
            </w:r>
          </w:p>
          <w:p w14:paraId="35039601">
            <w:pPr>
              <w:snapToGrid w:val="0"/>
              <w:jc w:val="left"/>
              <w:rPr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2、静电喷涂粉末：通过HG/T 2006-2006《热固性粉末涂料》检测标准：耐盐雾性：500H无异常，硬度（擦伤）≥5H，附着力≤1级，耐冲击性50cm，弯曲试验2mm，杯突</w:t>
            </w:r>
            <w:bookmarkStart w:id="1" w:name="OLE_LINK1"/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≥</w:t>
            </w:r>
            <w:bookmarkEnd w:id="1"/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8.5mm，耐酸碱性好，在容器中状态，色泽均匀、无异物、呈松散粉末状合格，涂膜外观合格。                                                                                                                                                                                                                       3、▲锁具：依据QB/T 1621-2015《家具锁》、QB/T 3826-1999《轻工产品金属镀层和化学处理层的耐腐蚀试验方法 中性盐雾试验（NSS)法》、QB/T3832-1999《轻工产品金属镀层腐蚀试验结果的评价》，牢固度中弹子锁、叶片锁使用寿命10000次，满足要求；灵活度中钥匙开启扭矩不大于0.34N*m；中性盐雾试验(NSS）连续喷雾310h，镀(涂)层对基体的保护等级≥9级，镀(涂)层本身耐腐蚀等级≥9级；</w:t>
            </w:r>
          </w:p>
        </w:tc>
        <w:tc>
          <w:tcPr>
            <w:tcW w:w="635" w:type="dxa"/>
            <w:vAlign w:val="center"/>
          </w:tcPr>
          <w:p w14:paraId="15F8C0E4">
            <w:pPr>
              <w:widowControl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个</w:t>
            </w:r>
          </w:p>
        </w:tc>
        <w:tc>
          <w:tcPr>
            <w:tcW w:w="853" w:type="dxa"/>
            <w:vAlign w:val="center"/>
          </w:tcPr>
          <w:p w14:paraId="0A16A24F">
            <w:pPr>
              <w:widowControl/>
              <w:jc w:val="center"/>
              <w:textAlignment w:val="center"/>
              <w:rPr>
                <w:rFonts w:hint="default" w:eastAsiaTheme="minorEastAsia"/>
                <w:sz w:val="16"/>
                <w:szCs w:val="16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224</w:t>
            </w:r>
          </w:p>
        </w:tc>
        <w:tc>
          <w:tcPr>
            <w:tcW w:w="883" w:type="dxa"/>
            <w:vAlign w:val="center"/>
          </w:tcPr>
          <w:p w14:paraId="233637B9">
            <w:pPr>
              <w:widowControl/>
              <w:jc w:val="center"/>
              <w:textAlignment w:val="center"/>
              <w:rPr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6门</w:t>
            </w:r>
          </w:p>
        </w:tc>
      </w:tr>
      <w:tr w14:paraId="171A7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5" w:hRule="exact"/>
        </w:trPr>
        <w:tc>
          <w:tcPr>
            <w:tcW w:w="560" w:type="dxa"/>
            <w:vAlign w:val="center"/>
          </w:tcPr>
          <w:p w14:paraId="4C55F75E">
            <w:pPr>
              <w:snapToGrid w:val="0"/>
              <w:jc w:val="center"/>
              <w:rPr>
                <w:rFonts w:hint="default" w:eastAsiaTheme="minorEastAsia"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kern w:val="2"/>
                <w:sz w:val="18"/>
                <w:szCs w:val="18"/>
                <w:lang w:val="en-US" w:eastAsia="zh-CN"/>
              </w:rPr>
              <w:t>18</w:t>
            </w:r>
          </w:p>
        </w:tc>
        <w:tc>
          <w:tcPr>
            <w:tcW w:w="983" w:type="dxa"/>
            <w:vAlign w:val="center"/>
          </w:tcPr>
          <w:p w14:paraId="62320554">
            <w:pPr>
              <w:snapToGri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成人输液椅</w:t>
            </w:r>
          </w:p>
        </w:tc>
        <w:tc>
          <w:tcPr>
            <w:tcW w:w="2289" w:type="dxa"/>
            <w:vAlign w:val="center"/>
          </w:tcPr>
          <w:p w14:paraId="3263AB69">
            <w:pPr>
              <w:snapToGrid w:val="0"/>
              <w:jc w:val="center"/>
              <w:rPr>
                <w:sz w:val="18"/>
                <w:szCs w:val="18"/>
              </w:rPr>
            </w:pPr>
            <w:r>
              <w:drawing>
                <wp:inline distT="0" distB="0" distL="114300" distR="114300">
                  <wp:extent cx="1446530" cy="1450975"/>
                  <wp:effectExtent l="0" t="0" r="1270" b="15875"/>
                  <wp:docPr id="1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30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vAlign w:val="center"/>
          </w:tcPr>
          <w:p w14:paraId="59ACE4D9">
            <w:pPr>
              <w:snapToGrid w:val="0"/>
              <w:jc w:val="both"/>
              <w:rPr>
                <w:color w:val="auto"/>
                <w:sz w:val="18"/>
                <w:szCs w:val="18"/>
                <w:shd w:val="clear" w:color="FFFFFF" w:fill="D9D9D9"/>
              </w:rPr>
            </w:pPr>
          </w:p>
          <w:p w14:paraId="57F0F116">
            <w:pPr>
              <w:bidi w:val="0"/>
              <w:ind w:firstLine="488" w:firstLineChars="0"/>
              <w:jc w:val="left"/>
              <w:rPr>
                <w:rFonts w:hint="default" w:asciiTheme="minorHAnsi" w:hAnsiTheme="minorHAnsi" w:eastAsiaTheme="minorEastAsia" w:cstheme="minorBidi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sz w:val="21"/>
                <w:szCs w:val="22"/>
                <w:lang w:val="en-US" w:eastAsia="zh-CN" w:bidi="ar-SA"/>
              </w:rPr>
              <w:t>3张椅</w:t>
            </w:r>
          </w:p>
        </w:tc>
        <w:tc>
          <w:tcPr>
            <w:tcW w:w="7248" w:type="dxa"/>
            <w:vAlign w:val="center"/>
          </w:tcPr>
          <w:p w14:paraId="496217FF">
            <w:pPr>
              <w:snapToGrid w:val="0"/>
              <w:jc w:val="left"/>
              <w:rPr>
                <w:color w:val="auto"/>
                <w:sz w:val="18"/>
                <w:szCs w:val="18"/>
                <w:shd w:val="clear" w:color="FFFFFF" w:fill="D9D9D9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1、网板材质：网板采用厚度≥1.4mm优质冷轧钢板，整板一次冲压成型，表面静电喷涂。2、边条材质结构：优质橄榄型冷拉管，平面直径宽度≥40mm，边条与椅座和椅背采用自动焊接技术焊接后流线成型于一体，橄榄型边条厚度≥1.5mm，表面静电喷涂。边条两口附加胶塞。、V型连接片和椅托：采用优质冷轧板切片后利用压力机冷压成型，表面厚度≥4.5mm,表面静电喷涂。椅托表面静电喷涂。4、皮垫：椅座与椅背加西皮皮垫。5、承重压力：≥120KG的静止压力。6、扶手材质：扶手面宽度≥80mm ,扶手高度≥240mm,长度≥420mm ,实心冷拉钢筋直径≥10mm，表面静电喷涂。7、站脚材质：采用优质冷拉管抽心弯后自动焊焊接成型，厚度≥1.4mm，高度≥280mm，跨度长度≥650mm,表面静电喷涂，表面光滑，不易磨损掉漆，脚底采用圆形橡胶底托脚垫。8、横梁：采用优质方形冷拉管，厚度≥2.0mm,横截面尺寸50*50mm，表面静电喷涂，横梁两头配有塑料胶塞 。9、配有输液杆。</w:t>
            </w:r>
          </w:p>
        </w:tc>
        <w:tc>
          <w:tcPr>
            <w:tcW w:w="635" w:type="dxa"/>
            <w:vAlign w:val="center"/>
          </w:tcPr>
          <w:p w14:paraId="2E79288A">
            <w:pPr>
              <w:widowControl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个</w:t>
            </w:r>
          </w:p>
        </w:tc>
        <w:tc>
          <w:tcPr>
            <w:tcW w:w="853" w:type="dxa"/>
            <w:vAlign w:val="center"/>
          </w:tcPr>
          <w:p w14:paraId="7113DE72">
            <w:pPr>
              <w:widowControl/>
              <w:jc w:val="center"/>
              <w:textAlignment w:val="center"/>
              <w:rPr>
                <w:rFonts w:hint="eastAsia" w:eastAsiaTheme="minorEastAsia"/>
                <w:sz w:val="16"/>
                <w:szCs w:val="16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5</w:t>
            </w:r>
          </w:p>
        </w:tc>
        <w:tc>
          <w:tcPr>
            <w:tcW w:w="883" w:type="dxa"/>
            <w:vAlign w:val="center"/>
          </w:tcPr>
          <w:p w14:paraId="1477927A">
            <w:pPr>
              <w:jc w:val="center"/>
              <w:rPr>
                <w:sz w:val="16"/>
                <w:szCs w:val="16"/>
              </w:rPr>
            </w:pPr>
          </w:p>
        </w:tc>
      </w:tr>
      <w:tr w14:paraId="79D372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0" w:hRule="exact"/>
        </w:trPr>
        <w:tc>
          <w:tcPr>
            <w:tcW w:w="560" w:type="dxa"/>
            <w:vAlign w:val="center"/>
          </w:tcPr>
          <w:p w14:paraId="3088398E">
            <w:pPr>
              <w:snapToGrid w:val="0"/>
              <w:jc w:val="center"/>
              <w:rPr>
                <w:rFonts w:hint="default" w:eastAsiaTheme="minorEastAsia"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kern w:val="2"/>
                <w:sz w:val="18"/>
                <w:szCs w:val="18"/>
                <w:lang w:val="en-US" w:eastAsia="zh-CN"/>
              </w:rPr>
              <w:t>19</w:t>
            </w:r>
          </w:p>
        </w:tc>
        <w:tc>
          <w:tcPr>
            <w:tcW w:w="983" w:type="dxa"/>
            <w:vAlign w:val="center"/>
          </w:tcPr>
          <w:p w14:paraId="0D52EADC">
            <w:pPr>
              <w:snapToGri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儿童输液沙发</w:t>
            </w:r>
          </w:p>
        </w:tc>
        <w:tc>
          <w:tcPr>
            <w:tcW w:w="2289" w:type="dxa"/>
            <w:vAlign w:val="center"/>
          </w:tcPr>
          <w:p w14:paraId="45D4B1DA">
            <w:pPr>
              <w:snapToGrid w:val="0"/>
              <w:jc w:val="center"/>
            </w:pPr>
            <w:r>
              <w:drawing>
                <wp:inline distT="0" distB="0" distL="114300" distR="114300">
                  <wp:extent cx="1443355" cy="1119505"/>
                  <wp:effectExtent l="0" t="0" r="4445" b="4445"/>
                  <wp:docPr id="1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355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vAlign w:val="center"/>
          </w:tcPr>
          <w:p w14:paraId="6D07193E">
            <w:pPr>
              <w:snapToGrid w:val="0"/>
              <w:jc w:val="center"/>
              <w:rPr>
                <w:rFonts w:hint="eastAsia"/>
                <w:sz w:val="18"/>
                <w:szCs w:val="18"/>
              </w:rPr>
            </w:pPr>
          </w:p>
        </w:tc>
        <w:tc>
          <w:tcPr>
            <w:tcW w:w="7248" w:type="dxa"/>
            <w:vAlign w:val="center"/>
          </w:tcPr>
          <w:p w14:paraId="67DDBC57">
            <w:pPr>
              <w:snapToGrid w:val="0"/>
              <w:spacing w:line="220" w:lineRule="exac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1、基材为▲实木多层板：依据GB/T 9846-2015《普通胶合板》GB18580-2017《室内装饰装修材料人造板及其制品甲醛释放限量，GB/T35601-2017《绿色产品评价 人造板和木质地板-》；GB/T 17657-2013《人造板及饰面人造板理化性能试验方法》；JC/T 2039-2010《抗菌防霉木质装饰板》；GB/T 39600-2021《人造板及其制品甲醛释放量分级》；含水率≤8.7%，内胶合强度≥0.55Mpa；甲醛释放限量≤0.026 mg/m³，挥发性有机化物(72h)中苯、甲苯未检出，二甲苯≤14，总挥发性有机化合物（TVOC）≤52；</w:t>
            </w:r>
          </w:p>
          <w:p w14:paraId="09FF435B">
            <w:pPr>
              <w:snapToGrid w:val="0"/>
              <w:jc w:val="left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</w:rPr>
              <w:t>2、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采用烤漆工艺，</w:t>
            </w:r>
            <w:r>
              <w:rPr>
                <w:rFonts w:hint="eastAsia"/>
                <w:sz w:val="18"/>
                <w:szCs w:val="18"/>
              </w:rPr>
              <w:t>采用优质环保水性漆（底漆面漆均为水性油漆）；“五底三面 ”工艺，水性底漆&amp;水性面漆均符合 GB 18581-2020《木器涂料中有害物质限量》的标准，涂料(色漆)(VOC含量)未检出,乙二醇醚及醚酯总和含量、总铅含量、甲醛含量均未检出，苯系物总和含量【限苯、甲苯、二甲苯(含乙苯)】未检出，烷基酚聚氧乙烯醚总和含量未检出，卤代烃 (以二氯甲烷计)未检出，可溶性重金属含量（镉、铬、汞）3 项未检出。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 xml:space="preserve">                        3、</w:t>
            </w:r>
            <w:r>
              <w:rPr>
                <w:rFonts w:hint="eastAsia"/>
                <w:sz w:val="18"/>
                <w:szCs w:val="18"/>
              </w:rPr>
              <w:t xml:space="preserve">原生海绵：依据QB/T 1952.2-2011 《软体家具  弹簧软床垫》标准和QB/T 1952.1-2012《软 体家具 沙发》的标准；产品用料、加工：泡沫塑料：①座面表观密度＞52kg/m³；②回弹性能 （除慢回弹泡沫塑料外）≥55%。铺垫料物理性能：软质聚氨酯泡沫塑料：其他拉伸强度≥ 117KPa；    </w:t>
            </w:r>
          </w:p>
        </w:tc>
        <w:tc>
          <w:tcPr>
            <w:tcW w:w="635" w:type="dxa"/>
            <w:vAlign w:val="center"/>
          </w:tcPr>
          <w:p w14:paraId="603D8C9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lang w:val="en-US" w:eastAsia="zh-CN"/>
              </w:rPr>
              <w:t>个</w:t>
            </w:r>
          </w:p>
        </w:tc>
        <w:tc>
          <w:tcPr>
            <w:tcW w:w="853" w:type="dxa"/>
            <w:vAlign w:val="center"/>
          </w:tcPr>
          <w:p w14:paraId="11ECE97A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40</w:t>
            </w:r>
          </w:p>
        </w:tc>
        <w:tc>
          <w:tcPr>
            <w:tcW w:w="883" w:type="dxa"/>
            <w:vAlign w:val="center"/>
          </w:tcPr>
          <w:p w14:paraId="28DAD6D0">
            <w:pPr>
              <w:jc w:val="center"/>
              <w:rPr>
                <w:sz w:val="16"/>
                <w:szCs w:val="16"/>
              </w:rPr>
            </w:pPr>
          </w:p>
        </w:tc>
      </w:tr>
      <w:tr w14:paraId="6F859B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0" w:hRule="exact"/>
        </w:trPr>
        <w:tc>
          <w:tcPr>
            <w:tcW w:w="560" w:type="dxa"/>
            <w:vAlign w:val="center"/>
          </w:tcPr>
          <w:p w14:paraId="125663C2">
            <w:pPr>
              <w:snapToGrid w:val="0"/>
              <w:jc w:val="center"/>
              <w:rPr>
                <w:rFonts w:hint="default" w:eastAsiaTheme="minorEastAsia"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kern w:val="2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983" w:type="dxa"/>
            <w:vAlign w:val="center"/>
          </w:tcPr>
          <w:p w14:paraId="15A224DC">
            <w:pPr>
              <w:snapToGri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礼堂椅</w:t>
            </w:r>
          </w:p>
        </w:tc>
        <w:tc>
          <w:tcPr>
            <w:tcW w:w="2289" w:type="dxa"/>
            <w:vAlign w:val="center"/>
          </w:tcPr>
          <w:p w14:paraId="50136D93">
            <w:pPr>
              <w:snapToGrid w:val="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04800" cy="304800"/>
                  <wp:effectExtent l="0" t="0" r="0" b="0"/>
                  <wp:docPr id="10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445895" cy="1937385"/>
                  <wp:effectExtent l="0" t="0" r="1905" b="5715"/>
                  <wp:docPr id="2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93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04800" cy="304800"/>
                  <wp:effectExtent l="0" t="0" r="0" b="0"/>
                  <wp:docPr id="8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vAlign w:val="center"/>
          </w:tcPr>
          <w:p w14:paraId="2D9923C3">
            <w:pPr>
              <w:snapToGrid w:val="0"/>
              <w:jc w:val="center"/>
              <w:rPr>
                <w:rFonts w:hint="eastAsia"/>
                <w:sz w:val="18"/>
                <w:szCs w:val="18"/>
              </w:rPr>
            </w:pPr>
          </w:p>
        </w:tc>
        <w:tc>
          <w:tcPr>
            <w:tcW w:w="7248" w:type="dxa"/>
            <w:vAlign w:val="center"/>
          </w:tcPr>
          <w:p w14:paraId="0B8B505F">
            <w:pPr>
              <w:snapToGrid w:val="0"/>
              <w:jc w:val="left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1、材质：座椅靠背海绵及座垫海绵：采用高回弹聚氨酯高压发泡一次成型技术，不会因频繁使用而变形、起皱,软背形状符合人体原理设计、坐感舒适。2</w:t>
            </w:r>
            <w:r>
              <w:rPr>
                <w:rFonts w:hint="eastAsia"/>
                <w:sz w:val="18"/>
                <w:szCs w:val="18"/>
                <w:lang w:eastAsia="zh-CN"/>
              </w:rPr>
              <w:t>、</w:t>
            </w:r>
            <w:r>
              <w:rPr>
                <w:rFonts w:hint="eastAsia"/>
                <w:sz w:val="18"/>
                <w:szCs w:val="18"/>
              </w:rPr>
              <w:t>背内板：采用夹板经模具压弯成型，背内板厚度应≥7㎜。座椅的靠背外板、座垫底板：选用多层板经热压一次成型,座椅靠背外板厚度应≥15㎜,坐垫外板厚度应≥14㎜，座垫底板具备吸音及排气功能，具有良好排气效果。座椅回复：阻尼慢回位、回位轻盈无声，持久耐用，无噪音。座框架：采用冷轧钢板厚度≥1.8㎜，经模具冲压焊接组合成型；座框架两边限位装置采用≥5㎜冷轧钢片，限位钉采用T型凹槽限位工艺；直径约16㎜经焊接打磨电熔处理，无故障；消音圈采用NBR材料，外径尺寸约20㎜,直径约5㎜。）扶手面：采用实木材料，尺寸约425㎜*82㎜*20㎜；扶手采用前高后低设计，前后落差约20㎜。写字板机构材质及功能要求：采用全铝合金支撑结构安全下拉式，自动收回结构。连接尺寸约W170㎜*D70㎜*H46㎜。支撑写字板架尺寸约282㎜*175㎜。中心轴套采用耐磨材料POM内孔直径约16㎜，经模具注塑一体成型。写字板面采用ABS多元素复合材料，写字面板尺寸约W272㎜*D270㎜*H12㎜，展开后倾斜度应在3-5度；增设钢珠φ5㎜弹簧限位设计；写字板复位时不超出扶手前缘之外，确保疏散时通道畅通；人起立自然触碰立即自动一步复位于扶手下方（或手动上旋一步翻转复位于扶手下方），人群能够安全快速疏散。面料：座椅面料选用耐磨毛麻纺织面料，软硬适中、手感舒适、粘接牢固，使用长时间无皱褶，无断裂、不起球、不褪色、耐磨、吸声、抗污。侧板工艺及要求：采用内嵌插入式侧板设计，没有凸出在框架外侧。侧板前高后低设计，前后落差约20㎜，与扶手面及主架无缝对接工艺；材料采用厚度为3㎜的高密度板，外敷海绵和扪布，触感柔和舒适。扶手上框架工艺要求：主框架采用内嵌插入式卡槽设计≥1.8㎜冷轧钢冲压成型、尺寸约420㎜*80㎜*370㎜，比传统外扣式更加稳固耐用；扶手框架前缘预留半隐藏写字板净空间，加强设计侧翻边5㎜；扶手架采用前高后低设计，前后落差约20㎜。下脚架：采用铝合金材料，经压注模具压注一次成型。具有送风及吸音功能。脚架尺寸约230㎜*70㎜*243㎜壁厚为不低于4㎜；站脚与地面接触部分铝合金长度约170㎜，固定孔距约142㎜。所有材料表面经打磨、抛光、磷化、静电喷粉、高温锔炉等工序处理。落地脚采用重力设计，椅脚固定采用隐蔽功能，与地面固定外六角螺栓隐藏在站脚板内部，外观无可视固定站脚螺丝孔、盖。</w:t>
            </w:r>
          </w:p>
        </w:tc>
        <w:tc>
          <w:tcPr>
            <w:tcW w:w="635" w:type="dxa"/>
            <w:vAlign w:val="center"/>
          </w:tcPr>
          <w:p w14:paraId="37E5729E">
            <w:pPr>
              <w:snapToGrid w:val="0"/>
              <w:jc w:val="left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853" w:type="dxa"/>
            <w:vAlign w:val="center"/>
          </w:tcPr>
          <w:p w14:paraId="2BEC6391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72</w:t>
            </w:r>
          </w:p>
        </w:tc>
        <w:tc>
          <w:tcPr>
            <w:tcW w:w="883" w:type="dxa"/>
            <w:vAlign w:val="center"/>
          </w:tcPr>
          <w:p w14:paraId="104B7186">
            <w:pPr>
              <w:jc w:val="center"/>
              <w:rPr>
                <w:sz w:val="16"/>
                <w:szCs w:val="16"/>
              </w:rPr>
            </w:pPr>
          </w:p>
        </w:tc>
      </w:tr>
      <w:tr w14:paraId="480683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0" w:hRule="exact"/>
        </w:trPr>
        <w:tc>
          <w:tcPr>
            <w:tcW w:w="560" w:type="dxa"/>
            <w:vAlign w:val="center"/>
          </w:tcPr>
          <w:p w14:paraId="2F29B10B">
            <w:pPr>
              <w:snapToGrid w:val="0"/>
              <w:jc w:val="center"/>
              <w:rPr>
                <w:rFonts w:hint="default" w:eastAsiaTheme="minorEastAsia"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kern w:val="2"/>
                <w:sz w:val="18"/>
                <w:szCs w:val="18"/>
                <w:lang w:val="en-US" w:eastAsia="zh-CN"/>
              </w:rPr>
              <w:t>21</w:t>
            </w:r>
          </w:p>
        </w:tc>
        <w:tc>
          <w:tcPr>
            <w:tcW w:w="983" w:type="dxa"/>
            <w:vAlign w:val="center"/>
          </w:tcPr>
          <w:p w14:paraId="4C2BC0FE">
            <w:pPr>
              <w:snapToGri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儿童雾化桌</w:t>
            </w:r>
          </w:p>
        </w:tc>
        <w:tc>
          <w:tcPr>
            <w:tcW w:w="2289" w:type="dxa"/>
            <w:vAlign w:val="center"/>
          </w:tcPr>
          <w:p w14:paraId="67BC7DD9">
            <w:pPr>
              <w:snapToGrid w:val="0"/>
              <w:jc w:val="center"/>
              <w:rPr>
                <w:rFonts w:hint="eastAsia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447165" cy="1704340"/>
                  <wp:effectExtent l="0" t="0" r="635" b="10160"/>
                  <wp:docPr id="1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70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vAlign w:val="center"/>
          </w:tcPr>
          <w:p w14:paraId="430A3DC8">
            <w:pPr>
              <w:snapToGrid w:val="0"/>
              <w:jc w:val="center"/>
              <w:rPr>
                <w:rFonts w:hint="eastAsia"/>
                <w:sz w:val="18"/>
                <w:szCs w:val="18"/>
              </w:rPr>
            </w:pPr>
          </w:p>
        </w:tc>
        <w:tc>
          <w:tcPr>
            <w:tcW w:w="7248" w:type="dxa"/>
            <w:vAlign w:val="center"/>
          </w:tcPr>
          <w:p w14:paraId="2B713DF1">
            <w:pPr>
              <w:snapToGrid w:val="0"/>
              <w:jc w:val="left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、基材：采用环保实木多层板，防油污渗透、易清洁，具有结构稳定等特性；含水率≤8.5%，内胶合强度≥0.6Mpa，表面胶合强度≥1.2Mpa，静曲强度顺纹≥40Mpa，横纹≥35Mpa，弹性模量顺纹≥6500MPa,横纹≥4800Mpa；甲醛释放量未检出，苯、甲苯、二甲苯未检出，总挥发性有机化合物(TVOC)未检出，抗细菌性能：抗细菌率（金黄色葡萄球菌）≥90%，防霉菌性能：防霉菌等级（土曲霉）为0级。2、贴面：采用三聚氰胺浸渍纸贴面，硬度大、耐磨、耐热、耐水性强，耐腐蚀，易清洗；，具有防潮、防腐、防污、耐磨性能及宜清洗、防划痕等特点。3、胶粘剂：选用环保安全胶粘剂，无刺激性气味，游离甲醛未检出,苯、甲苯+二甲苯未检出，总挥发性有机物未检出。&lt;br/&gt;4、封边：选用2.0mm厚PVC封边条；有害物质限量可迁移元素(铅、镉、铬、汞、砷、钡、锑、硒)均未检出。5、连接件：板材之间选用优质三合一连接件连接 ，各种理化性能满足国家标准；6、五金配件：选用“DTC"牌高强度耐腐蚀五金配件。</w:t>
            </w:r>
          </w:p>
        </w:tc>
        <w:tc>
          <w:tcPr>
            <w:tcW w:w="635" w:type="dxa"/>
            <w:vAlign w:val="center"/>
          </w:tcPr>
          <w:p w14:paraId="04A9E16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lang w:val="en-US" w:eastAsia="zh-CN"/>
              </w:rPr>
            </w:pPr>
          </w:p>
        </w:tc>
        <w:tc>
          <w:tcPr>
            <w:tcW w:w="853" w:type="dxa"/>
            <w:vAlign w:val="center"/>
          </w:tcPr>
          <w:p w14:paraId="3D0DCC55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6</w:t>
            </w:r>
          </w:p>
        </w:tc>
        <w:tc>
          <w:tcPr>
            <w:tcW w:w="883" w:type="dxa"/>
            <w:vAlign w:val="center"/>
          </w:tcPr>
          <w:p w14:paraId="06DAD858">
            <w:pPr>
              <w:jc w:val="center"/>
              <w:rPr>
                <w:sz w:val="16"/>
                <w:szCs w:val="16"/>
              </w:rPr>
            </w:pPr>
          </w:p>
        </w:tc>
      </w:tr>
      <w:tr w14:paraId="296F4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5" w:hRule="exact"/>
        </w:trPr>
        <w:tc>
          <w:tcPr>
            <w:tcW w:w="560" w:type="dxa"/>
            <w:vAlign w:val="center"/>
          </w:tcPr>
          <w:p w14:paraId="55C5F7FB">
            <w:pPr>
              <w:snapToGrid w:val="0"/>
              <w:jc w:val="center"/>
              <w:rPr>
                <w:rFonts w:hint="default" w:eastAsiaTheme="minorEastAsia"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kern w:val="2"/>
                <w:sz w:val="18"/>
                <w:szCs w:val="18"/>
                <w:lang w:val="en-US" w:eastAsia="zh-CN"/>
              </w:rPr>
              <w:t>22</w:t>
            </w:r>
          </w:p>
        </w:tc>
        <w:tc>
          <w:tcPr>
            <w:tcW w:w="983" w:type="dxa"/>
            <w:vAlign w:val="center"/>
          </w:tcPr>
          <w:p w14:paraId="0A5BE1B3">
            <w:pPr>
              <w:snapToGri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主席台桌</w:t>
            </w:r>
          </w:p>
        </w:tc>
        <w:tc>
          <w:tcPr>
            <w:tcW w:w="2289" w:type="dxa"/>
            <w:vAlign w:val="center"/>
          </w:tcPr>
          <w:p w14:paraId="4D1764FB">
            <w:pPr>
              <w:snapToGrid w:val="0"/>
              <w:jc w:val="center"/>
            </w:pPr>
            <w:r>
              <w:drawing>
                <wp:inline distT="0" distB="0" distL="114300" distR="114300">
                  <wp:extent cx="1442720" cy="865505"/>
                  <wp:effectExtent l="0" t="0" r="5080" b="10795"/>
                  <wp:docPr id="1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04800" cy="304800"/>
                  <wp:effectExtent l="0" t="0" r="0" b="0"/>
                  <wp:docPr id="18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04800" cy="304800"/>
                  <wp:effectExtent l="0" t="0" r="0" b="0"/>
                  <wp:docPr id="19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04800" cy="304800"/>
                  <wp:effectExtent l="0" t="0" r="0" b="0"/>
                  <wp:docPr id="17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vAlign w:val="center"/>
          </w:tcPr>
          <w:p w14:paraId="174E4D56">
            <w:pPr>
              <w:snapToGrid w:val="0"/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2100*600*790</w:t>
            </w:r>
          </w:p>
        </w:tc>
        <w:tc>
          <w:tcPr>
            <w:tcW w:w="7248" w:type="dxa"/>
            <w:vAlign w:val="center"/>
          </w:tcPr>
          <w:p w14:paraId="7F4827DC">
            <w:pPr>
              <w:snapToGrid w:val="0"/>
              <w:jc w:val="left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/>
                <w:sz w:val="18"/>
                <w:szCs w:val="18"/>
              </w:rPr>
              <w:t>基材：选用环保中密度板纤维板；含水率8-10%，内胶合强度≥0.8MPa，表面胶合强度≥1.2MPa,甲醛释放量(气候箱法)ENF级≤0.02mg/m³,苯未检出，甲苯未检出，二甲苯未检出，TVOC未检出,总挥发性有机化合物(TVOC)的释放率未检出。2、木皮：选用AAA级天然胡桃木皮；木皮厚度不小于0.6mm。3、油漆：采用优质环保水性漆（底漆面漆均为水性油漆）；“五底三面”工艺，水性底漆&amp;水性面漆均符合GB 18581-2020《木器涂料中有害物质限量》的标准，涂料(色漆)(VOC含量)未检出,乙二醇醚及醚酯总和含量、总铅含量、甲醛含量均未检出，苯系物总和含量【限苯、甲苯、二甲苯(含乙苯)】未检出，烷基酚聚氧乙烯醚总和含量未检出，卤代烃(以二氯甲烷计)未检出，可溶性重金属含量（镉、铬、汞）3项未检出。</w:t>
            </w:r>
          </w:p>
        </w:tc>
        <w:tc>
          <w:tcPr>
            <w:tcW w:w="635" w:type="dxa"/>
            <w:vAlign w:val="center"/>
          </w:tcPr>
          <w:p w14:paraId="5C8E6A8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lang w:val="en-US" w:eastAsia="zh-CN"/>
              </w:rPr>
            </w:pPr>
          </w:p>
        </w:tc>
        <w:tc>
          <w:tcPr>
            <w:tcW w:w="853" w:type="dxa"/>
            <w:vAlign w:val="center"/>
          </w:tcPr>
          <w:p w14:paraId="289A557A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6张</w:t>
            </w:r>
          </w:p>
        </w:tc>
        <w:tc>
          <w:tcPr>
            <w:tcW w:w="883" w:type="dxa"/>
            <w:vAlign w:val="center"/>
          </w:tcPr>
          <w:p w14:paraId="54145C94">
            <w:pPr>
              <w:jc w:val="center"/>
              <w:rPr>
                <w:rFonts w:hint="default" w:eastAsiaTheme="minorEastAsia"/>
                <w:sz w:val="16"/>
                <w:szCs w:val="16"/>
                <w:lang w:val="en-US" w:eastAsia="zh-CN"/>
              </w:rPr>
            </w:pPr>
            <w:r>
              <w:rPr>
                <w:rFonts w:hint="eastAsia"/>
                <w:sz w:val="16"/>
                <w:szCs w:val="16"/>
                <w:lang w:val="en-US" w:eastAsia="zh-CN"/>
              </w:rPr>
              <w:t>现场测量</w:t>
            </w:r>
          </w:p>
        </w:tc>
      </w:tr>
      <w:tr w14:paraId="624D26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5" w:hRule="exact"/>
        </w:trPr>
        <w:tc>
          <w:tcPr>
            <w:tcW w:w="560" w:type="dxa"/>
            <w:vAlign w:val="center"/>
          </w:tcPr>
          <w:p w14:paraId="6D68D2D1">
            <w:pPr>
              <w:snapToGrid w:val="0"/>
              <w:jc w:val="center"/>
              <w:rPr>
                <w:rFonts w:hint="default" w:eastAsiaTheme="minorEastAsia"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kern w:val="2"/>
                <w:sz w:val="18"/>
                <w:szCs w:val="18"/>
                <w:lang w:val="en-US" w:eastAsia="zh-CN"/>
              </w:rPr>
              <w:t>23</w:t>
            </w:r>
          </w:p>
        </w:tc>
        <w:tc>
          <w:tcPr>
            <w:tcW w:w="983" w:type="dxa"/>
            <w:vAlign w:val="center"/>
          </w:tcPr>
          <w:p w14:paraId="76F7114B">
            <w:pPr>
              <w:snapToGrid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会议条桌</w:t>
            </w:r>
          </w:p>
          <w:p w14:paraId="1AAE7EE0">
            <w:pPr>
              <w:snapToGrid w:val="0"/>
              <w:jc w:val="center"/>
              <w:rPr>
                <w:rFonts w:hint="default"/>
                <w:lang w:val="en-US" w:eastAsia="zh-CN"/>
              </w:rPr>
            </w:pPr>
          </w:p>
        </w:tc>
        <w:tc>
          <w:tcPr>
            <w:tcW w:w="2289" w:type="dxa"/>
            <w:vAlign w:val="center"/>
          </w:tcPr>
          <w:p w14:paraId="40828364">
            <w:pPr>
              <w:snapToGrid w:val="0"/>
              <w:jc w:val="center"/>
            </w:pPr>
            <w:r>
              <w:drawing>
                <wp:inline distT="0" distB="0" distL="114300" distR="114300">
                  <wp:extent cx="1438910" cy="1438910"/>
                  <wp:effectExtent l="0" t="0" r="8890" b="8890"/>
                  <wp:docPr id="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vAlign w:val="center"/>
          </w:tcPr>
          <w:p w14:paraId="2F80BA96">
            <w:pPr>
              <w:snapToGrid w:val="0"/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1800*400*760</w:t>
            </w:r>
          </w:p>
        </w:tc>
        <w:tc>
          <w:tcPr>
            <w:tcW w:w="7248" w:type="dxa"/>
            <w:vAlign w:val="center"/>
          </w:tcPr>
          <w:p w14:paraId="551A0334">
            <w:pPr>
              <w:snapToGrid w:val="0"/>
              <w:jc w:val="left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、基材：选用环保中密度板纤维板；含水率8-10%，内胶合强度≥0.8MPa，表面胶合强度≥1.2MPa,甲醛释放量(气候箱法)ENF级≤0.02mg/m³,苯未检出，甲苯未检出，二甲苯未检出，TVOC未检出,总挥发性有机化合物(TVOC)的释放率未检出。2、木皮：选用AAA级天然胡桃木皮；木皮厚度不小于0.6mm。3、油漆：采用优质环保水性漆（底漆面漆均为水性油漆）；“五底三面”工艺，水性底漆&amp;水性面漆均符合GB 18581-2020《木器涂料中有害物质限量》的标准，涂料(色漆)(VOC含量)未检出,乙二醇醚及醚酯总和含量、总铅含量、甲醛含量均未检出，苯系物总和含量【限苯、甲苯、二甲苯(含乙苯)】未检出，烷基酚聚氧乙烯醚总和含量未检出，卤代烃(以二氯甲烷计)未检出，可溶性重金属含量（镉、铬、汞）3项未检出。</w:t>
            </w:r>
          </w:p>
        </w:tc>
        <w:tc>
          <w:tcPr>
            <w:tcW w:w="635" w:type="dxa"/>
            <w:vAlign w:val="center"/>
          </w:tcPr>
          <w:p w14:paraId="6E1D97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lang w:val="en-US" w:eastAsia="zh-CN"/>
              </w:rPr>
            </w:pPr>
          </w:p>
        </w:tc>
        <w:tc>
          <w:tcPr>
            <w:tcW w:w="853" w:type="dxa"/>
            <w:vAlign w:val="center"/>
          </w:tcPr>
          <w:p w14:paraId="0DF3F4AB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90</w:t>
            </w:r>
          </w:p>
        </w:tc>
        <w:tc>
          <w:tcPr>
            <w:tcW w:w="883" w:type="dxa"/>
            <w:vAlign w:val="center"/>
          </w:tcPr>
          <w:p w14:paraId="68428F7C">
            <w:pPr>
              <w:jc w:val="center"/>
              <w:rPr>
                <w:rFonts w:hint="eastAsia"/>
                <w:sz w:val="16"/>
                <w:szCs w:val="16"/>
                <w:lang w:val="en-US" w:eastAsia="zh-CN"/>
              </w:rPr>
            </w:pPr>
          </w:p>
        </w:tc>
      </w:tr>
      <w:tr w14:paraId="6CE477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5" w:hRule="exact"/>
        </w:trPr>
        <w:tc>
          <w:tcPr>
            <w:tcW w:w="560" w:type="dxa"/>
            <w:vAlign w:val="center"/>
          </w:tcPr>
          <w:p w14:paraId="768CA0EF">
            <w:pPr>
              <w:snapToGrid w:val="0"/>
              <w:jc w:val="center"/>
              <w:rPr>
                <w:rFonts w:hint="default" w:eastAsiaTheme="minorEastAsia"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kern w:val="2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983" w:type="dxa"/>
            <w:vAlign w:val="center"/>
          </w:tcPr>
          <w:p w14:paraId="55A1A85B">
            <w:pPr>
              <w:snapToGri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会议椅</w:t>
            </w:r>
          </w:p>
        </w:tc>
        <w:tc>
          <w:tcPr>
            <w:tcW w:w="2289" w:type="dxa"/>
            <w:vAlign w:val="center"/>
          </w:tcPr>
          <w:p w14:paraId="6C5DF00B">
            <w:pPr>
              <w:snapToGrid w:val="0"/>
              <w:jc w:val="center"/>
            </w:pPr>
            <w:r>
              <w:drawing>
                <wp:inline distT="0" distB="0" distL="114300" distR="114300">
                  <wp:extent cx="1445895" cy="1967865"/>
                  <wp:effectExtent l="0" t="0" r="1905" b="13335"/>
                  <wp:docPr id="2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96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vAlign w:val="center"/>
          </w:tcPr>
          <w:p w14:paraId="685AFEF3">
            <w:pPr>
              <w:snapToGrid w:val="0"/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常规</w:t>
            </w:r>
          </w:p>
        </w:tc>
        <w:tc>
          <w:tcPr>
            <w:tcW w:w="7248" w:type="dxa"/>
            <w:vAlign w:val="center"/>
          </w:tcPr>
          <w:p w14:paraId="2C8754D3">
            <w:pPr>
              <w:snapToGrid w:val="0"/>
              <w:jc w:val="left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/>
                <w:sz w:val="18"/>
                <w:szCs w:val="18"/>
              </w:rPr>
              <w:t>面料：优质超纤皮革（厚度≥1.1 ㎜），其具有良好的物理力学性能和化学稳定性，韧性强。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 xml:space="preserve">                                                                             2、</w:t>
            </w:r>
            <w:r>
              <w:rPr>
                <w:rFonts w:hint="eastAsia"/>
                <w:sz w:val="18"/>
                <w:szCs w:val="18"/>
              </w:rPr>
              <w:t>海绵：采用高密度阻燃海绵，反复坐压，不变形；符合物理力学性能(回弹率&gt;50%,75%压缩永久变形≤3.4%,伸长率≥200%；撕裂强度≥4N/cm；干热老化后拉伸强度≥180KPa；湿热老化后拉伸强度≥180KPa；甲醛释放量≤0.024mg/m²h,通过香烟抗引燃特性测试。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 xml:space="preserve">                             3、</w:t>
            </w:r>
            <w:r>
              <w:rPr>
                <w:rFonts w:hint="eastAsia"/>
                <w:sz w:val="18"/>
                <w:szCs w:val="18"/>
              </w:rPr>
              <w:t>椅架：优质橡木实木椅架，经防潮、防虫、防腐处理，强度高、刚性好，经窖干后加工成型，结构稳定不易变形）油漆：采用优质环保水性漆（底漆面漆均为水性油漆）；“五底三面 ”工艺，水性底漆&amp;水性面漆均符合 GB 18581-2020《木器涂料中有害物质限量》的标准，涂料(色漆)(VOC含量)未检出,乙二醇醚及醚酯总和含量、总铅含量、甲醛含量均未检出，苯系物总和含量【限苯、甲苯、二甲苯(含乙苯)】未检出，烷基酚聚氧乙烯醚总和含量未检出，卤代烃 (以二氯甲烷计)未检出，可溶性重金属含量（镉、铬、汞）3 项未检出。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 xml:space="preserve">                 </w:t>
            </w:r>
            <w:r>
              <w:rPr>
                <w:rFonts w:hint="eastAsia"/>
                <w:sz w:val="18"/>
                <w:szCs w:val="18"/>
              </w:rPr>
              <w:t>颜色：胡桃色+黑色皮面</w:t>
            </w:r>
          </w:p>
        </w:tc>
        <w:tc>
          <w:tcPr>
            <w:tcW w:w="635" w:type="dxa"/>
            <w:vAlign w:val="center"/>
          </w:tcPr>
          <w:p w14:paraId="1BA450C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lang w:val="en-US" w:eastAsia="zh-CN"/>
              </w:rPr>
            </w:pPr>
          </w:p>
        </w:tc>
        <w:tc>
          <w:tcPr>
            <w:tcW w:w="853" w:type="dxa"/>
            <w:vAlign w:val="center"/>
          </w:tcPr>
          <w:p w14:paraId="1D4D4679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270</w:t>
            </w:r>
          </w:p>
        </w:tc>
        <w:tc>
          <w:tcPr>
            <w:tcW w:w="883" w:type="dxa"/>
            <w:vAlign w:val="center"/>
          </w:tcPr>
          <w:p w14:paraId="7B9E76DE">
            <w:pPr>
              <w:jc w:val="center"/>
              <w:rPr>
                <w:rFonts w:hint="eastAsia"/>
                <w:sz w:val="16"/>
                <w:szCs w:val="16"/>
                <w:lang w:val="en-US" w:eastAsia="zh-CN"/>
              </w:rPr>
            </w:pPr>
          </w:p>
        </w:tc>
      </w:tr>
    </w:tbl>
    <w:p w14:paraId="2A15BE94">
      <w:pPr>
        <w:spacing w:line="320" w:lineRule="exact"/>
        <w:jc w:val="left"/>
        <w:rPr>
          <w:rFonts w:asciiTheme="minorEastAsia" w:hAnsiTheme="minorEastAsia" w:cstheme="minorEastAsia"/>
          <w:bCs/>
          <w:sz w:val="24"/>
          <w:szCs w:val="24"/>
        </w:rPr>
      </w:pPr>
    </w:p>
    <w:p w14:paraId="1DC9181B">
      <w:pPr>
        <w:spacing w:after="120"/>
        <w:rPr>
          <w:b/>
          <w:sz w:val="36"/>
          <w:szCs w:val="36"/>
        </w:rPr>
        <w:sectPr>
          <w:pgSz w:w="16838" w:h="11906" w:orient="landscape"/>
          <w:pgMar w:top="1080" w:right="1440" w:bottom="1080" w:left="1440" w:header="851" w:footer="992" w:gutter="0"/>
          <w:cols w:space="720" w:num="1"/>
          <w:docGrid w:linePitch="312" w:charSpace="0"/>
        </w:sectPr>
      </w:pPr>
    </w:p>
    <w:p w14:paraId="031F935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7D4269"/>
    <w:rsid w:val="05941D74"/>
    <w:rsid w:val="0AED1722"/>
    <w:rsid w:val="2ABA7D0F"/>
    <w:rsid w:val="2E1F11F9"/>
    <w:rsid w:val="397B3533"/>
    <w:rsid w:val="3DF24321"/>
    <w:rsid w:val="3F7059AF"/>
    <w:rsid w:val="56232810"/>
    <w:rsid w:val="667D4269"/>
    <w:rsid w:val="7AB6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next w:val="3"/>
    <w:qFormat/>
    <w:uiPriority w:val="0"/>
    <w:pPr>
      <w:widowControl/>
      <w:ind w:firstLine="586"/>
      <w:jc w:val="left"/>
    </w:pPr>
    <w:rPr>
      <w:sz w:val="28"/>
      <w:szCs w:val="20"/>
    </w:rPr>
  </w:style>
  <w:style w:type="paragraph" w:styleId="3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4">
    <w:name w:val="Body Text First Indent 2"/>
    <w:basedOn w:val="2"/>
    <w:next w:val="1"/>
    <w:unhideWhenUsed/>
    <w:qFormat/>
    <w:uiPriority w:val="99"/>
    <w:pPr>
      <w:spacing w:after="120"/>
      <w:ind w:left="420" w:leftChars="200" w:firstLine="420" w:firstLineChars="200"/>
    </w:pPr>
    <w:rPr>
      <w:rFonts w:ascii="Calibri" w:hAnsi="Calibri"/>
      <w:sz w:val="21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9">
    <w:name w:val="font1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0">
    <w:name w:val="font21"/>
    <w:basedOn w:val="7"/>
    <w:qFormat/>
    <w:uiPriority w:val="0"/>
    <w:rPr>
      <w:rFonts w:ascii="Calibri" w:hAnsi="Calibri" w:cs="Calibri"/>
      <w:color w:val="000000"/>
      <w:sz w:val="20"/>
      <w:szCs w:val="20"/>
      <w:u w:val="none"/>
    </w:rPr>
  </w:style>
  <w:style w:type="table" w:customStyle="1" w:styleId="11">
    <w:name w:val="网格型1"/>
    <w:basedOn w:val="5"/>
    <w:unhideWhenUsed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NULL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image" Target="media/image26.png"/><Relationship Id="rId3" Type="http://schemas.openxmlformats.org/officeDocument/2006/relationships/theme" Target="theme/theme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../NUL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7308</Words>
  <Characters>9777</Characters>
  <Lines>0</Lines>
  <Paragraphs>0</Paragraphs>
  <TotalTime>9</TotalTime>
  <ScaleCrop>false</ScaleCrop>
  <LinksUpToDate>false</LinksUpToDate>
  <CharactersWithSpaces>10949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2025-09-23T01:12:00Z</dcterms:created>
  <dc:creator>Administrator</dc:creator>
  <cp:lastModifiedBy>A张旭</cp:lastModifiedBy>
  <dcterms:modified xsi:type="dcterms:W3CDTF">2025-09-24T09:44:08Z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eyJoZGlkIjoiYzE3ODVjMWY4MzFkMzQxZmI2YWE1ZDY1NDY2YmYwNmUiLCJ1c2VySWQiOiI0NTI2MzUzOTUifQ==</vt:lpwstr>
  </property>
  <property fmtid="{D5CDD505-2E9C-101B-9397-08002B2CF9AE}" pid="4" name="ICV">
    <vt:lpwstr>2E891861D58D40A18933C61970247642_13</vt:lpwstr>
  </property>
</Properties>
</file>